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BFD" w:rsidRPr="00901BFD" w:rsidRDefault="00901BFD" w:rsidP="00901BFD">
      <w:pPr>
        <w:spacing w:before="100" w:beforeAutospacing="1" w:after="100" w:afterAutospacing="1" w:line="240" w:lineRule="auto"/>
        <w:outlineLvl w:val="1"/>
        <w:rPr>
          <w:rFonts w:ascii="Times New Roman" w:eastAsia="Times New Roman" w:hAnsi="Times New Roman" w:cs="Times New Roman"/>
          <w:b/>
          <w:bCs/>
          <w:szCs w:val="36"/>
        </w:rPr>
      </w:pPr>
      <w:r>
        <w:rPr>
          <w:rFonts w:ascii="Times New Roman" w:eastAsia="Times New Roman" w:hAnsi="Times New Roman" w:cs="Times New Roman"/>
          <w:b/>
          <w:bCs/>
          <w:szCs w:val="36"/>
        </w:rPr>
        <w:t xml:space="preserve">IMMR WEBSITE:  </w:t>
      </w:r>
      <w:r w:rsidRPr="00901BFD">
        <w:rPr>
          <w:rFonts w:ascii="Times New Roman" w:eastAsia="Times New Roman" w:hAnsi="Times New Roman" w:cs="Times New Roman"/>
          <w:b/>
          <w:bCs/>
          <w:szCs w:val="36"/>
        </w:rPr>
        <w:t>Questions and answers following the WRR report “Money and debt”</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901BFD">
        <w:rPr>
          <w:rFonts w:ascii="Times New Roman" w:eastAsia="Times New Roman" w:hAnsi="Times New Roman" w:cs="Times New Roman"/>
          <w:b/>
          <w:bCs/>
          <w:sz w:val="24"/>
          <w:szCs w:val="24"/>
        </w:rPr>
        <w:t>As a response to the WRR report “</w:t>
      </w:r>
      <w:hyperlink r:id="rId6" w:history="1">
        <w:r w:rsidRPr="00901BFD">
          <w:rPr>
            <w:rFonts w:ascii="Times New Roman" w:eastAsia="Times New Roman" w:hAnsi="Times New Roman" w:cs="Times New Roman"/>
            <w:b/>
            <w:bCs/>
            <w:color w:val="0000FF"/>
            <w:sz w:val="24"/>
            <w:szCs w:val="24"/>
            <w:u w:val="single"/>
          </w:rPr>
          <w:t>Money and debt</w:t>
        </w:r>
      </w:hyperlink>
      <w:r w:rsidRPr="00901BFD">
        <w:rPr>
          <w:rFonts w:ascii="Times New Roman" w:eastAsia="Times New Roman" w:hAnsi="Times New Roman" w:cs="Times New Roman"/>
          <w:b/>
          <w:bCs/>
          <w:sz w:val="24"/>
          <w:szCs w:val="24"/>
        </w:rPr>
        <w:t>” a magazine for</w:t>
      </w:r>
      <w:r w:rsidRPr="00901BFD">
        <w:rPr>
          <w:rFonts w:ascii="Times New Roman" w:eastAsia="Times New Roman" w:hAnsi="Times New Roman" w:cs="Times New Roman"/>
          <w:sz w:val="24"/>
          <w:szCs w:val="24"/>
        </w:rPr>
        <w:t xml:space="preserve"> </w:t>
      </w:r>
      <w:r w:rsidRPr="00901BFD">
        <w:rPr>
          <w:rFonts w:ascii="Times New Roman" w:eastAsia="Times New Roman" w:hAnsi="Times New Roman" w:cs="Times New Roman"/>
          <w:b/>
          <w:bCs/>
          <w:sz w:val="24"/>
          <w:szCs w:val="24"/>
        </w:rPr>
        <w:t>economics teachers (</w:t>
      </w:r>
      <w:hyperlink r:id="rId7" w:history="1">
        <w:r w:rsidRPr="00901BFD">
          <w:rPr>
            <w:rFonts w:ascii="Times New Roman" w:eastAsia="Times New Roman" w:hAnsi="Times New Roman" w:cs="Times New Roman"/>
            <w:b/>
            <w:bCs/>
            <w:color w:val="0000FF"/>
            <w:sz w:val="24"/>
            <w:szCs w:val="24"/>
            <w:u w:val="single"/>
          </w:rPr>
          <w:t>TEO</w:t>
        </w:r>
      </w:hyperlink>
      <w:r w:rsidRPr="00901BFD">
        <w:rPr>
          <w:rFonts w:ascii="Times New Roman" w:eastAsia="Times New Roman" w:hAnsi="Times New Roman" w:cs="Times New Roman"/>
          <w:b/>
          <w:bCs/>
          <w:sz w:val="24"/>
          <w:szCs w:val="24"/>
        </w:rPr>
        <w:t xml:space="preserve">) presented some questions to </w:t>
      </w:r>
      <w:proofErr w:type="spellStart"/>
      <w:r w:rsidRPr="00901BFD">
        <w:rPr>
          <w:rFonts w:ascii="Times New Roman" w:eastAsia="Times New Roman" w:hAnsi="Times New Roman" w:cs="Times New Roman"/>
          <w:b/>
          <w:bCs/>
          <w:sz w:val="24"/>
          <w:szCs w:val="24"/>
        </w:rPr>
        <w:t>Ons</w:t>
      </w:r>
      <w:proofErr w:type="spellEnd"/>
      <w:r w:rsidRPr="00901BFD">
        <w:rPr>
          <w:rFonts w:ascii="Times New Roman" w:eastAsia="Times New Roman" w:hAnsi="Times New Roman" w:cs="Times New Roman"/>
          <w:b/>
          <w:bCs/>
          <w:sz w:val="24"/>
          <w:szCs w:val="24"/>
        </w:rPr>
        <w:t xml:space="preserve"> Geld.</w:t>
      </w:r>
      <w:r w:rsidRPr="00901BFD">
        <w:rPr>
          <w:rFonts w:ascii="Times New Roman" w:eastAsia="Times New Roman" w:hAnsi="Times New Roman" w:cs="Times New Roman"/>
          <w:sz w:val="24"/>
          <w:szCs w:val="24"/>
        </w:rPr>
        <w:t xml:space="preserve"> </w:t>
      </w:r>
      <w:r w:rsidRPr="00901BFD">
        <w:rPr>
          <w:rFonts w:ascii="Times New Roman" w:eastAsia="Times New Roman" w:hAnsi="Times New Roman" w:cs="Times New Roman"/>
          <w:b/>
          <w:bCs/>
          <w:sz w:val="24"/>
          <w:szCs w:val="24"/>
        </w:rPr>
        <w:t>Both these questions and the answers are presented below.</w:t>
      </w:r>
      <w:r w:rsidRPr="00901BFD">
        <w:rPr>
          <w:rFonts w:ascii="Times New Roman" w:eastAsia="Times New Roman" w:hAnsi="Times New Roman" w:cs="Times New Roman"/>
          <w:sz w:val="24"/>
          <w:szCs w:val="24"/>
        </w:rPr>
        <w:t xml:space="preserve">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i/>
          <w:iCs/>
          <w:sz w:val="24"/>
          <w:szCs w:val="24"/>
        </w:rPr>
        <w:t xml:space="preserve">In “Money and debt: the public task of banks”, the WRR makes various recommendations (especially to politicians) about our monetary system. For example, the council argues for more diversity in the financial sector. Although the council is not in </w:t>
      </w:r>
      <w:proofErr w:type="spellStart"/>
      <w:r w:rsidRPr="00901BFD">
        <w:rPr>
          <w:rFonts w:ascii="Times New Roman" w:eastAsia="Times New Roman" w:hAnsi="Times New Roman" w:cs="Times New Roman"/>
          <w:i/>
          <w:iCs/>
          <w:sz w:val="24"/>
          <w:szCs w:val="24"/>
        </w:rPr>
        <w:t>favour</w:t>
      </w:r>
      <w:proofErr w:type="spellEnd"/>
      <w:r w:rsidRPr="00901BFD">
        <w:rPr>
          <w:rFonts w:ascii="Times New Roman" w:eastAsia="Times New Roman" w:hAnsi="Times New Roman" w:cs="Times New Roman"/>
          <w:i/>
          <w:iCs/>
          <w:sz w:val="24"/>
          <w:szCs w:val="24"/>
        </w:rPr>
        <w:t xml:space="preserve"> of a separation between public and private, it does plead for the establishment of a public anchored alternative to payment and saving accounts, say a deposit bank. What do you think of this recommendation?</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We like the WRR recommendation to create a safe-haven for book money. Such a safe-haven can take many forms, including the form of electronic money, a public or private full-reserve bank and an account with the central bank. The common denominator is that the public gets the opportunity to deposit money – directly or indirectly – with the central bank.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b/>
          <w:bCs/>
          <w:sz w:val="24"/>
          <w:szCs w:val="24"/>
        </w:rPr>
        <w:t>Central bad bank</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If this safe-haven becomes popular, though, it will prove less safe than expected. That is because of the following reason. As funds from banks are transferred to the safe-haven, banks lose part of their funding. Insofar as the banks are unable to supplement this via the market, they will be dependent on extra credits from the central bank. The central bank, which is regarded as a safe-haven, can then develop into a bad bank which is the lender to, in particular, banks that are insufficiently creditworthy to borrow on the market. Thus, on closer inspection, this safe-haven could turn out to be rather unsafe.</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b/>
          <w:bCs/>
          <w:sz w:val="24"/>
          <w:szCs w:val="24"/>
        </w:rPr>
        <w:t>Digital cash</w:t>
      </w:r>
      <w:r w:rsidRPr="00901BFD">
        <w:rPr>
          <w:rFonts w:ascii="Times New Roman" w:eastAsia="Times New Roman" w:hAnsi="Times New Roman" w:cs="Times New Roman"/>
          <w:sz w:val="24"/>
          <w:szCs w:val="24"/>
        </w:rPr>
        <w:t xml:space="preserve">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However, that does not have to be a problem, provided the following conditions are met. The deposits with the central bank that are held by the public (so not the “reserves”) must be converted into digital cash. This means that they are disconnected from underlying value. That value, consisting of assets of the central bank, then becomes available to be used to reduce public and private debts. This can happen in a monetarily neutral way, and without </w:t>
      </w:r>
      <w:proofErr w:type="spellStart"/>
      <w:r w:rsidRPr="00901BFD">
        <w:rPr>
          <w:rFonts w:ascii="Times New Roman" w:eastAsia="Times New Roman" w:hAnsi="Times New Roman" w:cs="Times New Roman"/>
          <w:sz w:val="24"/>
          <w:szCs w:val="24"/>
        </w:rPr>
        <w:t>favouring</w:t>
      </w:r>
      <w:proofErr w:type="spellEnd"/>
      <w:r w:rsidRPr="00901BFD">
        <w:rPr>
          <w:rFonts w:ascii="Times New Roman" w:eastAsia="Times New Roman" w:hAnsi="Times New Roman" w:cs="Times New Roman"/>
          <w:sz w:val="24"/>
          <w:szCs w:val="24"/>
        </w:rPr>
        <w:t xml:space="preserve"> debtors over creditors. A sketch of this is presented in “</w:t>
      </w:r>
      <w:hyperlink r:id="rId8" w:history="1">
        <w:r w:rsidRPr="00901BFD">
          <w:rPr>
            <w:rFonts w:ascii="Times New Roman" w:eastAsia="Times New Roman" w:hAnsi="Times New Roman" w:cs="Times New Roman"/>
            <w:color w:val="0000FF"/>
            <w:sz w:val="24"/>
            <w:szCs w:val="24"/>
            <w:u w:val="single"/>
          </w:rPr>
          <w:t>Deleverage without a crunch</w:t>
        </w:r>
      </w:hyperlink>
      <w:r w:rsidRPr="00901BFD">
        <w:rPr>
          <w:rFonts w:ascii="Times New Roman" w:eastAsia="Times New Roman" w:hAnsi="Times New Roman" w:cs="Times New Roman"/>
          <w:sz w:val="24"/>
          <w:szCs w:val="24"/>
        </w:rPr>
        <w:t>“.</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Conversion into digital cash requires legislation that defines this new form of money and gives it a place in the monetary system. Subsequent use of the assets that become available reduces the “debt mountain” and </w:t>
      </w:r>
      <w:proofErr w:type="spellStart"/>
      <w:r w:rsidRPr="00901BFD">
        <w:rPr>
          <w:rFonts w:ascii="Times New Roman" w:eastAsia="Times New Roman" w:hAnsi="Times New Roman" w:cs="Times New Roman"/>
          <w:sz w:val="24"/>
          <w:szCs w:val="24"/>
        </w:rPr>
        <w:t>normalises</w:t>
      </w:r>
      <w:proofErr w:type="spellEnd"/>
      <w:r w:rsidRPr="00901BFD">
        <w:rPr>
          <w:rFonts w:ascii="Times New Roman" w:eastAsia="Times New Roman" w:hAnsi="Times New Roman" w:cs="Times New Roman"/>
          <w:sz w:val="24"/>
          <w:szCs w:val="24"/>
        </w:rPr>
        <w:t xml:space="preserve"> balance sheet relationships in the financial system. With this targeted debt reduction, the public finances of the Member States in the euro zone can be put in order, and banks can be made healthier by shortening their balance sheets. From then on, banks must operate without further central bank credits and other state support. Both banks and member states are then subjected to full market discipline. Their situation is then no longer of importance for the euro. Both get to bear the consequences of undisciplined policy themselves. The bankruptcy of a major bank, and even of a member state, then no longer has to be avoided at all costs.</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proofErr w:type="spellStart"/>
      <w:r w:rsidRPr="00901BFD">
        <w:rPr>
          <w:rFonts w:ascii="Times New Roman" w:eastAsia="Times New Roman" w:hAnsi="Times New Roman" w:cs="Times New Roman"/>
          <w:b/>
          <w:bCs/>
          <w:sz w:val="24"/>
          <w:szCs w:val="24"/>
        </w:rPr>
        <w:t>Demonetisation</w:t>
      </w:r>
      <w:proofErr w:type="spellEnd"/>
      <w:r w:rsidRPr="00901BFD">
        <w:rPr>
          <w:rFonts w:ascii="Times New Roman" w:eastAsia="Times New Roman" w:hAnsi="Times New Roman" w:cs="Times New Roman"/>
          <w:b/>
          <w:bCs/>
          <w:sz w:val="24"/>
          <w:szCs w:val="24"/>
        </w:rPr>
        <w:t xml:space="preserve"> of deposits</w:t>
      </w:r>
      <w:r w:rsidRPr="00901BFD">
        <w:rPr>
          <w:rFonts w:ascii="Times New Roman" w:eastAsia="Times New Roman" w:hAnsi="Times New Roman" w:cs="Times New Roman"/>
          <w:sz w:val="24"/>
          <w:szCs w:val="24"/>
        </w:rPr>
        <w:t xml:space="preserve">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Monetary policy is then conducted on the basis of cash. It is no longer focused on the liquidity of banks (MFIs) but on the liquidity of society as a whole. Remaining deposits and money market instruments are thereby </w:t>
      </w:r>
      <w:proofErr w:type="spellStart"/>
      <w:r w:rsidRPr="00901BFD">
        <w:rPr>
          <w:rFonts w:ascii="Times New Roman" w:eastAsia="Times New Roman" w:hAnsi="Times New Roman" w:cs="Times New Roman"/>
          <w:sz w:val="24"/>
          <w:szCs w:val="24"/>
        </w:rPr>
        <w:t>demonetised</w:t>
      </w:r>
      <w:proofErr w:type="spellEnd"/>
      <w:r w:rsidRPr="00901BFD">
        <w:rPr>
          <w:rFonts w:ascii="Times New Roman" w:eastAsia="Times New Roman" w:hAnsi="Times New Roman" w:cs="Times New Roman"/>
          <w:sz w:val="24"/>
          <w:szCs w:val="24"/>
        </w:rPr>
        <w:t xml:space="preserve">. That means that they can no longer be exchanged 1 in 1 with the euro. They get a variable value and are regulated as securities. The banking license can then be abolished. The same rule will apply to banks </w:t>
      </w:r>
      <w:r w:rsidRPr="00901BFD">
        <w:rPr>
          <w:rFonts w:ascii="Times New Roman" w:eastAsia="Times New Roman" w:hAnsi="Times New Roman" w:cs="Times New Roman"/>
          <w:sz w:val="24"/>
          <w:szCs w:val="24"/>
        </w:rPr>
        <w:lastRenderedPageBreak/>
        <w:t>and non-banks, namely that it is prohibited to commercially raise funds under the promise that the provided funds can be reclaimed on demand.</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b/>
          <w:bCs/>
          <w:sz w:val="24"/>
          <w:szCs w:val="24"/>
        </w:rPr>
        <w:t>Disentanglement of banks and government</w:t>
      </w:r>
      <w:r w:rsidRPr="00901BFD">
        <w:rPr>
          <w:rFonts w:ascii="Times New Roman" w:eastAsia="Times New Roman" w:hAnsi="Times New Roman" w:cs="Times New Roman"/>
          <w:sz w:val="24"/>
          <w:szCs w:val="24"/>
        </w:rPr>
        <w:t xml:space="preserve">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In this way, the introduction of a “safe-haven” will ultimately result in the disentanglement of banks and government, because money (the embodiment of the general unit of value) and financial assets are separated. This is possible when digital cash is technically and socially established. The WRR report guides in this direction but does not anticipate on the outcome presented above. It does </w:t>
      </w:r>
      <w:proofErr w:type="spellStart"/>
      <w:r w:rsidRPr="00901BFD">
        <w:rPr>
          <w:rFonts w:ascii="Times New Roman" w:eastAsia="Times New Roman" w:hAnsi="Times New Roman" w:cs="Times New Roman"/>
          <w:sz w:val="24"/>
          <w:szCs w:val="24"/>
        </w:rPr>
        <w:t>recognise</w:t>
      </w:r>
      <w:proofErr w:type="spellEnd"/>
      <w:r w:rsidRPr="00901BFD">
        <w:rPr>
          <w:rFonts w:ascii="Times New Roman" w:eastAsia="Times New Roman" w:hAnsi="Times New Roman" w:cs="Times New Roman"/>
          <w:sz w:val="24"/>
          <w:szCs w:val="24"/>
        </w:rPr>
        <w:t xml:space="preserve"> however, that scenarios such as the foregoing have to be worked out to improve the money system, and to become better equipped to handle the next crises.</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This was the best outcome we could presently get in The Hague we were told off the record, following the presentation of the WRR-report. The politicians must now row the boat (the safe-haven) that has been provided. In fact, the WRR pushed the ball back to the House of Representatives, which already </w:t>
      </w:r>
      <w:hyperlink r:id="rId9" w:history="1">
        <w:r w:rsidRPr="00901BFD">
          <w:rPr>
            <w:rFonts w:ascii="Times New Roman" w:eastAsia="Times New Roman" w:hAnsi="Times New Roman" w:cs="Times New Roman"/>
            <w:color w:val="0000FF"/>
            <w:sz w:val="24"/>
            <w:szCs w:val="24"/>
            <w:u w:val="single"/>
          </w:rPr>
          <w:t>voted unanimously</w:t>
        </w:r>
      </w:hyperlink>
      <w:r w:rsidRPr="00901BFD">
        <w:rPr>
          <w:rFonts w:ascii="Times New Roman" w:eastAsia="Times New Roman" w:hAnsi="Times New Roman" w:cs="Times New Roman"/>
          <w:sz w:val="24"/>
          <w:szCs w:val="24"/>
        </w:rPr>
        <w:t xml:space="preserve"> in </w:t>
      </w:r>
      <w:proofErr w:type="spellStart"/>
      <w:r w:rsidRPr="00901BFD">
        <w:rPr>
          <w:rFonts w:ascii="Times New Roman" w:eastAsia="Times New Roman" w:hAnsi="Times New Roman" w:cs="Times New Roman"/>
          <w:sz w:val="24"/>
          <w:szCs w:val="24"/>
        </w:rPr>
        <w:t>favour</w:t>
      </w:r>
      <w:proofErr w:type="spellEnd"/>
      <w:r w:rsidRPr="00901BFD">
        <w:rPr>
          <w:rFonts w:ascii="Times New Roman" w:eastAsia="Times New Roman" w:hAnsi="Times New Roman" w:cs="Times New Roman"/>
          <w:sz w:val="24"/>
          <w:szCs w:val="24"/>
        </w:rPr>
        <w:t xml:space="preserve"> of a safe-haven for book money, in response to citizens’ initiative “</w:t>
      </w:r>
      <w:proofErr w:type="spellStart"/>
      <w:r w:rsidRPr="00901BFD">
        <w:rPr>
          <w:rFonts w:ascii="Times New Roman" w:eastAsia="Times New Roman" w:hAnsi="Times New Roman" w:cs="Times New Roman"/>
          <w:sz w:val="24"/>
          <w:szCs w:val="24"/>
        </w:rPr>
        <w:t>Ons</w:t>
      </w:r>
      <w:proofErr w:type="spellEnd"/>
      <w:r w:rsidRPr="00901BFD">
        <w:rPr>
          <w:rFonts w:ascii="Times New Roman" w:eastAsia="Times New Roman" w:hAnsi="Times New Roman" w:cs="Times New Roman"/>
          <w:sz w:val="24"/>
          <w:szCs w:val="24"/>
        </w:rPr>
        <w:t xml:space="preserve"> Geld”. The WRR confirms that this is the right way to go. It is now up to the politicians to decide how this safe-haven will take shape.</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b/>
          <w:bCs/>
          <w:sz w:val="24"/>
          <w:szCs w:val="24"/>
        </w:rPr>
        <w:t>Central bank digital currency</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i/>
          <w:iCs/>
          <w:sz w:val="24"/>
          <w:szCs w:val="24"/>
        </w:rPr>
        <w:t xml:space="preserve">The council also recommends an experiment with central bank digital currency. What is your opinion about that?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This recommendation fits in with our vision that the safe-haven eventually transforms into digital cash, reducing the entanglement of banks and government.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We do believe however that the central bank should not develop central bank digital currency on its own accord. It must be developed in </w:t>
      </w:r>
      <w:hyperlink r:id="rId10" w:history="1">
        <w:r w:rsidRPr="00901BFD">
          <w:rPr>
            <w:rFonts w:ascii="Times New Roman" w:eastAsia="Times New Roman" w:hAnsi="Times New Roman" w:cs="Times New Roman"/>
            <w:color w:val="0000FF"/>
            <w:sz w:val="24"/>
            <w:szCs w:val="24"/>
            <w:u w:val="single"/>
          </w:rPr>
          <w:t>interaction with society</w:t>
        </w:r>
      </w:hyperlink>
      <w:r w:rsidRPr="00901BFD">
        <w:rPr>
          <w:rFonts w:ascii="Times New Roman" w:eastAsia="Times New Roman" w:hAnsi="Times New Roman" w:cs="Times New Roman"/>
          <w:sz w:val="24"/>
          <w:szCs w:val="24"/>
        </w:rPr>
        <w:t xml:space="preserve"> and market participants. Fintech companies in particular can contribute to rapid development and adoption of digital cash. That could start tomorrow by allowing payment service providers and electronic money institutions to open an account with the central bank and giving them access to “TARGET2”, the interbank payment system, provided by the ECB. The safe-haven would then be quickly realized, improving competition and exposing banks to market discipline.</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b/>
          <w:bCs/>
          <w:sz w:val="24"/>
          <w:szCs w:val="24"/>
        </w:rPr>
        <w:t>Social advisory board</w:t>
      </w:r>
      <w:r w:rsidRPr="00901BFD">
        <w:rPr>
          <w:rFonts w:ascii="Times New Roman" w:eastAsia="Times New Roman" w:hAnsi="Times New Roman" w:cs="Times New Roman"/>
          <w:sz w:val="24"/>
          <w:szCs w:val="24"/>
        </w:rPr>
        <w:t xml:space="preserve">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i/>
          <w:iCs/>
          <w:sz w:val="24"/>
          <w:szCs w:val="24"/>
        </w:rPr>
        <w:t xml:space="preserve">The council also argues for a stronger anchoring of the public dimension of banks, for example through the establishment of a social advisory council. What do you think of that?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It seems to us that banks must consider themselves whether they want to be advised by a social council, and whether this fits with their marketing and brand policy. We see no merit in a legally enforceable social advisory council for every bank. However, it would be good if banks of their own accord anchored more socially responsible behavior in their structure. </w:t>
      </w:r>
      <w:proofErr w:type="spellStart"/>
      <w:r w:rsidRPr="00901BFD">
        <w:rPr>
          <w:rFonts w:ascii="Times New Roman" w:eastAsia="Times New Roman" w:hAnsi="Times New Roman" w:cs="Times New Roman"/>
          <w:sz w:val="24"/>
          <w:szCs w:val="24"/>
        </w:rPr>
        <w:t>Demonetisation</w:t>
      </w:r>
      <w:proofErr w:type="spellEnd"/>
      <w:r w:rsidRPr="00901BFD">
        <w:rPr>
          <w:rFonts w:ascii="Times New Roman" w:eastAsia="Times New Roman" w:hAnsi="Times New Roman" w:cs="Times New Roman"/>
          <w:sz w:val="24"/>
          <w:szCs w:val="24"/>
        </w:rPr>
        <w:t xml:space="preserve"> of deposits can contribute to this, as it will force banks to compete more actively for their customer’s </w:t>
      </w:r>
      <w:proofErr w:type="spellStart"/>
      <w:r w:rsidRPr="00901BFD">
        <w:rPr>
          <w:rFonts w:ascii="Times New Roman" w:eastAsia="Times New Roman" w:hAnsi="Times New Roman" w:cs="Times New Roman"/>
          <w:sz w:val="24"/>
          <w:szCs w:val="24"/>
        </w:rPr>
        <w:t>favour</w:t>
      </w:r>
      <w:proofErr w:type="spellEnd"/>
      <w:r w:rsidRPr="00901BFD">
        <w:rPr>
          <w:rFonts w:ascii="Times New Roman" w:eastAsia="Times New Roman" w:hAnsi="Times New Roman" w:cs="Times New Roman"/>
          <w:sz w:val="24"/>
          <w:szCs w:val="24"/>
        </w:rPr>
        <w:t xml:space="preserve">.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b/>
          <w:bCs/>
          <w:sz w:val="24"/>
          <w:szCs w:val="24"/>
        </w:rPr>
        <w:t>Debt and crises</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i/>
          <w:iCs/>
          <w:sz w:val="24"/>
          <w:szCs w:val="24"/>
        </w:rPr>
        <w:lastRenderedPageBreak/>
        <w:t>What is your opinion on the recommendations regarding the slowdown in debt growth and the better preparedness for the next crisis?</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In the current system, monetary expansion is necessarily accompanied by debt growth. Prosperity is thereby unduly limited due to the debt burdens that this system generates. This system has a motor that suffocates itself, causing it to stall. The design of this system, as far as you can speak of it in such a way, because it has never been designed, is objectively inadequate. This is now </w:t>
      </w:r>
      <w:proofErr w:type="spellStart"/>
      <w:r w:rsidRPr="00901BFD">
        <w:rPr>
          <w:rFonts w:ascii="Times New Roman" w:eastAsia="Times New Roman" w:hAnsi="Times New Roman" w:cs="Times New Roman"/>
          <w:sz w:val="24"/>
          <w:szCs w:val="24"/>
        </w:rPr>
        <w:t>recognised</w:t>
      </w:r>
      <w:proofErr w:type="spellEnd"/>
      <w:r w:rsidRPr="00901BFD">
        <w:rPr>
          <w:rFonts w:ascii="Times New Roman" w:eastAsia="Times New Roman" w:hAnsi="Times New Roman" w:cs="Times New Roman"/>
          <w:sz w:val="24"/>
          <w:szCs w:val="24"/>
        </w:rPr>
        <w:t xml:space="preserve"> by the WRR.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b/>
          <w:bCs/>
          <w:sz w:val="24"/>
          <w:szCs w:val="24"/>
        </w:rPr>
        <w:t>Fundamental reconsiderations</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The flanking legal system has largely been developed in response to crisis situations. A coherent design is lacking, let alone fundamental political decision making about it. The foundations of the system were never questioned. The WRR now calls to look at these foundations and to systematically map the policy options. In this way, guidance can be given to make the money system develop in a socially desirable direction. It will then also be possible to make decisions in crisis situations that are consistent with that direction.</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The call to think in terms of alternatives and scenarios is the greatest benefit of this WRR report. Education must take this call to heart. It will help to make education more fun, and to sharpen the insight into monetary reality.</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b/>
          <w:bCs/>
          <w:sz w:val="24"/>
          <w:szCs w:val="24"/>
        </w:rPr>
        <w:t>Debt-free money</w:t>
      </w:r>
      <w:r w:rsidRPr="00901BFD">
        <w:rPr>
          <w:rFonts w:ascii="Times New Roman" w:eastAsia="Times New Roman" w:hAnsi="Times New Roman" w:cs="Times New Roman"/>
          <w:sz w:val="24"/>
          <w:szCs w:val="24"/>
        </w:rPr>
        <w:t xml:space="preserve">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The advice of the WRR to slow down debt growth implies – within the current system – inhibition of prosperity and thus waste of wealth potentials. In this respect we do not consider the attitude of the WRR to be beneficial. We wished the WRR had shown more courage and vision by not regarding the entanglement of money and debt as a given, but as a systemic issue that needs to be resolved. The WRR could have shed light on the potential of “debt-free” money (cash) to disentangle money and debt. Then there would have been no substantial difference between the visions of the WRR and </w:t>
      </w:r>
      <w:proofErr w:type="spellStart"/>
      <w:r w:rsidRPr="00901BFD">
        <w:rPr>
          <w:rFonts w:ascii="Times New Roman" w:eastAsia="Times New Roman" w:hAnsi="Times New Roman" w:cs="Times New Roman"/>
          <w:sz w:val="24"/>
          <w:szCs w:val="24"/>
        </w:rPr>
        <w:t>Ons</w:t>
      </w:r>
      <w:proofErr w:type="spellEnd"/>
      <w:r w:rsidRPr="00901BFD">
        <w:rPr>
          <w:rFonts w:ascii="Times New Roman" w:eastAsia="Times New Roman" w:hAnsi="Times New Roman" w:cs="Times New Roman"/>
          <w:sz w:val="24"/>
          <w:szCs w:val="24"/>
        </w:rPr>
        <w:t xml:space="preserve"> Geld.</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Edgar Wortmann – </w:t>
      </w:r>
      <w:proofErr w:type="spellStart"/>
      <w:r w:rsidRPr="00901BFD">
        <w:rPr>
          <w:rFonts w:ascii="Times New Roman" w:eastAsia="Times New Roman" w:hAnsi="Times New Roman" w:cs="Times New Roman"/>
          <w:sz w:val="24"/>
          <w:szCs w:val="24"/>
        </w:rPr>
        <w:t>Stichting</w:t>
      </w:r>
      <w:proofErr w:type="spellEnd"/>
      <w:r w:rsidRPr="00901BFD">
        <w:rPr>
          <w:rFonts w:ascii="Times New Roman" w:eastAsia="Times New Roman" w:hAnsi="Times New Roman" w:cs="Times New Roman"/>
          <w:sz w:val="24"/>
          <w:szCs w:val="24"/>
        </w:rPr>
        <w:t xml:space="preserve"> </w:t>
      </w:r>
      <w:proofErr w:type="spellStart"/>
      <w:r w:rsidRPr="00901BFD">
        <w:rPr>
          <w:rFonts w:ascii="Times New Roman" w:eastAsia="Times New Roman" w:hAnsi="Times New Roman" w:cs="Times New Roman"/>
          <w:sz w:val="24"/>
          <w:szCs w:val="24"/>
        </w:rPr>
        <w:t>Ons</w:t>
      </w:r>
      <w:proofErr w:type="spellEnd"/>
      <w:r w:rsidRPr="00901BFD">
        <w:rPr>
          <w:rFonts w:ascii="Times New Roman" w:eastAsia="Times New Roman" w:hAnsi="Times New Roman" w:cs="Times New Roman"/>
          <w:sz w:val="24"/>
          <w:szCs w:val="24"/>
        </w:rPr>
        <w:t xml:space="preserve"> Geld – March 11th, 2019 </w:t>
      </w:r>
    </w:p>
    <w:p w:rsidR="00901BFD" w:rsidRPr="00901BFD" w:rsidRDefault="00901BFD" w:rsidP="00901BFD">
      <w:pPr>
        <w:spacing w:before="100" w:beforeAutospacing="1" w:after="100" w:afterAutospacing="1" w:line="240" w:lineRule="auto"/>
        <w:rPr>
          <w:rFonts w:ascii="Times New Roman" w:eastAsia="Times New Roman" w:hAnsi="Times New Roman" w:cs="Times New Roman"/>
          <w:sz w:val="24"/>
          <w:szCs w:val="24"/>
        </w:rPr>
      </w:pPr>
      <w:r w:rsidRPr="00901BFD">
        <w:rPr>
          <w:rFonts w:ascii="Times New Roman" w:eastAsia="Times New Roman" w:hAnsi="Times New Roman" w:cs="Times New Roman"/>
          <w:sz w:val="24"/>
          <w:szCs w:val="24"/>
        </w:rPr>
        <w:t xml:space="preserve">Originally published in Dutch on February 2nd, 2019 by </w:t>
      </w:r>
      <w:hyperlink r:id="rId11" w:history="1">
        <w:proofErr w:type="spellStart"/>
        <w:r w:rsidRPr="00901BFD">
          <w:rPr>
            <w:rFonts w:ascii="Times New Roman" w:eastAsia="Times New Roman" w:hAnsi="Times New Roman" w:cs="Times New Roman"/>
            <w:color w:val="0000FF"/>
            <w:sz w:val="24"/>
            <w:szCs w:val="24"/>
            <w:u w:val="single"/>
          </w:rPr>
          <w:t>Ons</w:t>
        </w:r>
        <w:proofErr w:type="spellEnd"/>
        <w:r w:rsidRPr="00901BFD">
          <w:rPr>
            <w:rFonts w:ascii="Times New Roman" w:eastAsia="Times New Roman" w:hAnsi="Times New Roman" w:cs="Times New Roman"/>
            <w:color w:val="0000FF"/>
            <w:sz w:val="24"/>
            <w:szCs w:val="24"/>
            <w:u w:val="single"/>
          </w:rPr>
          <w:t xml:space="preserve"> Geld</w:t>
        </w:r>
      </w:hyperlink>
      <w:r w:rsidRPr="00901BFD">
        <w:rPr>
          <w:rFonts w:ascii="Times New Roman" w:eastAsia="Times New Roman" w:hAnsi="Times New Roman" w:cs="Times New Roman"/>
          <w:sz w:val="24"/>
          <w:szCs w:val="24"/>
        </w:rPr>
        <w:t>.</w:t>
      </w:r>
    </w:p>
    <w:p w:rsidR="00EB65A1" w:rsidRDefault="00EB65A1"/>
    <w:sectPr w:rsidR="00EB65A1" w:rsidSect="00901BFD">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054" w:rsidRDefault="00E15054" w:rsidP="00901BFD">
      <w:pPr>
        <w:spacing w:after="0" w:line="240" w:lineRule="auto"/>
      </w:pPr>
      <w:r>
        <w:separator/>
      </w:r>
    </w:p>
  </w:endnote>
  <w:endnote w:type="continuationSeparator" w:id="0">
    <w:p w:rsidR="00E15054" w:rsidRDefault="00E15054" w:rsidP="0090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054" w:rsidRDefault="00E15054" w:rsidP="00901BFD">
      <w:pPr>
        <w:spacing w:after="0" w:line="240" w:lineRule="auto"/>
      </w:pPr>
      <w:r>
        <w:separator/>
      </w:r>
    </w:p>
  </w:footnote>
  <w:footnote w:type="continuationSeparator" w:id="0">
    <w:p w:rsidR="00E15054" w:rsidRDefault="00E15054" w:rsidP="00901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901BFD" w:rsidRDefault="00901BF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901BFD" w:rsidRDefault="00901B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FD"/>
    <w:rsid w:val="00901BFD"/>
    <w:rsid w:val="00E15054"/>
    <w:rsid w:val="00EB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C79C"/>
  <w15:chartTrackingRefBased/>
  <w15:docId w15:val="{92663006-63F9-46ED-A1CA-439893E2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01B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BFD"/>
  </w:style>
  <w:style w:type="paragraph" w:styleId="Footer">
    <w:name w:val="footer"/>
    <w:basedOn w:val="Normal"/>
    <w:link w:val="FooterChar"/>
    <w:uiPriority w:val="99"/>
    <w:unhideWhenUsed/>
    <w:rsid w:val="00901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BFD"/>
  </w:style>
  <w:style w:type="character" w:customStyle="1" w:styleId="Heading2Char">
    <w:name w:val="Heading 2 Char"/>
    <w:basedOn w:val="DefaultParagraphFont"/>
    <w:link w:val="Heading2"/>
    <w:uiPriority w:val="9"/>
    <w:rsid w:val="00901BFD"/>
    <w:rPr>
      <w:rFonts w:ascii="Times New Roman" w:eastAsia="Times New Roman" w:hAnsi="Times New Roman" w:cs="Times New Roman"/>
      <w:b/>
      <w:bCs/>
      <w:sz w:val="36"/>
      <w:szCs w:val="36"/>
    </w:rPr>
  </w:style>
  <w:style w:type="character" w:customStyle="1" w:styleId="entry-author">
    <w:name w:val="entry-author"/>
    <w:basedOn w:val="DefaultParagraphFont"/>
    <w:rsid w:val="00901BFD"/>
  </w:style>
  <w:style w:type="character" w:styleId="Hyperlink">
    <w:name w:val="Hyperlink"/>
    <w:basedOn w:val="DefaultParagraphFont"/>
    <w:uiPriority w:val="99"/>
    <w:semiHidden/>
    <w:unhideWhenUsed/>
    <w:rsid w:val="00901BFD"/>
    <w:rPr>
      <w:color w:val="0000FF"/>
      <w:u w:val="single"/>
    </w:rPr>
  </w:style>
  <w:style w:type="character" w:customStyle="1" w:styleId="entry-author-name">
    <w:name w:val="entry-author-name"/>
    <w:basedOn w:val="DefaultParagraphFont"/>
    <w:rsid w:val="00901BFD"/>
  </w:style>
  <w:style w:type="character" w:customStyle="1" w:styleId="entry-categories">
    <w:name w:val="entry-categories"/>
    <w:basedOn w:val="DefaultParagraphFont"/>
    <w:rsid w:val="00901BFD"/>
  </w:style>
  <w:style w:type="character" w:customStyle="1" w:styleId="entry-comments-link">
    <w:name w:val="entry-comments-link"/>
    <w:basedOn w:val="DefaultParagraphFont"/>
    <w:rsid w:val="00901BFD"/>
  </w:style>
  <w:style w:type="paragraph" w:styleId="NormalWeb">
    <w:name w:val="Normal (Web)"/>
    <w:basedOn w:val="Normal"/>
    <w:uiPriority w:val="99"/>
    <w:semiHidden/>
    <w:unhideWhenUsed/>
    <w:rsid w:val="00901B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BFD"/>
    <w:rPr>
      <w:b/>
      <w:bCs/>
    </w:rPr>
  </w:style>
  <w:style w:type="character" w:styleId="Emphasis">
    <w:name w:val="Emphasis"/>
    <w:basedOn w:val="DefaultParagraphFont"/>
    <w:uiPriority w:val="20"/>
    <w:qFormat/>
    <w:rsid w:val="00901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07161">
      <w:bodyDiv w:val="1"/>
      <w:marLeft w:val="0"/>
      <w:marRight w:val="0"/>
      <w:marTop w:val="0"/>
      <w:marBottom w:val="0"/>
      <w:divBdr>
        <w:top w:val="none" w:sz="0" w:space="0" w:color="auto"/>
        <w:left w:val="none" w:sz="0" w:space="0" w:color="auto"/>
        <w:bottom w:val="none" w:sz="0" w:space="0" w:color="auto"/>
        <w:right w:val="none" w:sz="0" w:space="0" w:color="auto"/>
      </w:divBdr>
      <w:divsChild>
        <w:div w:id="1536774898">
          <w:marLeft w:val="0"/>
          <w:marRight w:val="0"/>
          <w:marTop w:val="0"/>
          <w:marBottom w:val="0"/>
          <w:divBdr>
            <w:top w:val="none" w:sz="0" w:space="0" w:color="auto"/>
            <w:left w:val="none" w:sz="0" w:space="0" w:color="auto"/>
            <w:bottom w:val="none" w:sz="0" w:space="0" w:color="auto"/>
            <w:right w:val="none" w:sz="0" w:space="0" w:color="auto"/>
          </w:divBdr>
          <w:divsChild>
            <w:div w:id="2012483154">
              <w:marLeft w:val="0"/>
              <w:marRight w:val="0"/>
              <w:marTop w:val="0"/>
              <w:marBottom w:val="0"/>
              <w:divBdr>
                <w:top w:val="none" w:sz="0" w:space="0" w:color="auto"/>
                <w:left w:val="none" w:sz="0" w:space="0" w:color="auto"/>
                <w:bottom w:val="none" w:sz="0" w:space="0" w:color="auto"/>
                <w:right w:val="none" w:sz="0" w:space="0" w:color="auto"/>
              </w:divBdr>
            </w:div>
          </w:divsChild>
        </w:div>
        <w:div w:id="49738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sgeld.nu/onsgeld/2017/deleverage_without_crunch.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econ.nl/tijdschrifte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rr.nl/publicaties/rapporten/2019/01/17/geld-en-schuld---de-publieke-rol-van-banken" TargetMode="External"/><Relationship Id="rId11" Type="http://schemas.openxmlformats.org/officeDocument/2006/relationships/hyperlink" Target="https://onsgeld.nu/archief/wrr/20190202_vragen_teo_wrr.pdf" TargetMode="External"/><Relationship Id="rId5" Type="http://schemas.openxmlformats.org/officeDocument/2006/relationships/endnotes" Target="endnotes.xml"/><Relationship Id="rId10" Type="http://schemas.openxmlformats.org/officeDocument/2006/relationships/hyperlink" Target="https://onsgeld.nu/archief/immr/20180722_digital_cash_is_a_political_issue.pdf" TargetMode="External"/><Relationship Id="rId4" Type="http://schemas.openxmlformats.org/officeDocument/2006/relationships/footnotes" Target="footnotes.xml"/><Relationship Id="rId9" Type="http://schemas.openxmlformats.org/officeDocument/2006/relationships/hyperlink" Target="https://www.tweedekamer.nl/kamerstukken/moties/detail?id=2016Z05514&amp;did=2016D112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cp:revision>
  <dcterms:created xsi:type="dcterms:W3CDTF">2019-03-14T22:05:00Z</dcterms:created>
  <dcterms:modified xsi:type="dcterms:W3CDTF">2019-03-14T22:08:00Z</dcterms:modified>
</cp:coreProperties>
</file>