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F04" w:rsidRPr="00345F04" w:rsidRDefault="00345F04" w:rsidP="00345F04">
      <w:pPr>
        <w:spacing w:before="100" w:beforeAutospacing="1" w:after="100" w:afterAutospacing="1"/>
        <w:rPr>
          <w:rFonts w:eastAsia="Times New Roman" w:cs="Times New Roman"/>
          <w:sz w:val="24"/>
          <w:szCs w:val="24"/>
        </w:rPr>
      </w:pPr>
      <w:r w:rsidRPr="00345F04">
        <w:rPr>
          <w:rFonts w:eastAsia="Times New Roman" w:cs="Times New Roman"/>
          <w:sz w:val="24"/>
          <w:szCs w:val="24"/>
        </w:rPr>
        <w:t>The Greenback Era</w:t>
      </w:r>
      <w:r w:rsidRPr="00345F04">
        <w:rPr>
          <w:rFonts w:eastAsia="Times New Roman" w:cs="Times New Roman"/>
          <w:sz w:val="24"/>
          <w:szCs w:val="24"/>
        </w:rPr>
        <w:br/>
      </w:r>
      <w:r w:rsidRPr="00345F04">
        <w:rPr>
          <w:rFonts w:eastAsia="Times New Roman" w:cs="Times New Roman"/>
          <w:sz w:val="20"/>
          <w:szCs w:val="20"/>
        </w:rPr>
        <w:t>A SOCIAL, AND POLITICAL HISTORY</w:t>
      </w:r>
      <w:r w:rsidRPr="00345F04">
        <w:rPr>
          <w:rFonts w:eastAsia="Times New Roman" w:cs="Times New Roman"/>
          <w:sz w:val="20"/>
          <w:szCs w:val="20"/>
        </w:rPr>
        <w:br/>
        <w:t>OF AMERICAN FINANCE, 1865-1879</w:t>
      </w:r>
      <w:r w:rsidRPr="00345F04">
        <w:rPr>
          <w:rFonts w:eastAsia="Times New Roman" w:cs="Times New Roman"/>
          <w:sz w:val="20"/>
          <w:szCs w:val="20"/>
        </w:rPr>
        <w:br/>
      </w:r>
      <w:r w:rsidRPr="00345F04">
        <w:rPr>
          <w:rFonts w:eastAsia="Times New Roman" w:cs="Times New Roman"/>
          <w:i/>
          <w:iCs/>
          <w:sz w:val="20"/>
          <w:szCs w:val="20"/>
        </w:rPr>
        <w:t>BY IRWIN UNGER</w:t>
      </w:r>
      <w:r w:rsidRPr="00345F04">
        <w:rPr>
          <w:rFonts w:eastAsia="Times New Roman" w:cs="Times New Roman"/>
          <w:sz w:val="20"/>
          <w:szCs w:val="20"/>
        </w:rPr>
        <w:br/>
        <w:t>PRINCETON, NEW JERSEY</w:t>
      </w:r>
      <w:r w:rsidRPr="00345F04">
        <w:rPr>
          <w:rFonts w:eastAsia="Times New Roman" w:cs="Times New Roman"/>
          <w:sz w:val="20"/>
          <w:szCs w:val="20"/>
        </w:rPr>
        <w:br/>
        <w:t>PRINCETON UNIVERSITY PRESS</w:t>
      </w:r>
      <w:r w:rsidRPr="00345F04">
        <w:rPr>
          <w:rFonts w:eastAsia="Times New Roman" w:cs="Times New Roman"/>
          <w:sz w:val="20"/>
          <w:szCs w:val="20"/>
        </w:rPr>
        <w:br/>
        <w:t>1964</w:t>
      </w:r>
    </w:p>
    <w:p w:rsidR="00345F04" w:rsidRPr="00345F04" w:rsidRDefault="00345F04" w:rsidP="00345F04">
      <w:pPr>
        <w:spacing w:before="100" w:beforeAutospacing="1" w:after="100" w:afterAutospacing="1"/>
        <w:rPr>
          <w:rFonts w:eastAsia="Times New Roman" w:cs="Times New Roman"/>
          <w:sz w:val="24"/>
          <w:szCs w:val="24"/>
        </w:rPr>
      </w:pPr>
      <w:r w:rsidRPr="00345F04">
        <w:rPr>
          <w:rFonts w:eastAsia="Times New Roman" w:cs="Times New Roman"/>
          <w:sz w:val="24"/>
          <w:szCs w:val="24"/>
        </w:rPr>
        <w:t xml:space="preserve">THE HARD MONEY </w:t>
      </w:r>
      <w:proofErr w:type="gramStart"/>
      <w:r w:rsidRPr="00345F04">
        <w:rPr>
          <w:rFonts w:eastAsia="Times New Roman" w:cs="Times New Roman"/>
          <w:sz w:val="24"/>
          <w:szCs w:val="24"/>
        </w:rPr>
        <w:t>INTEREST</w:t>
      </w:r>
      <w:proofErr w:type="gramEnd"/>
      <w:r w:rsidRPr="00345F04">
        <w:rPr>
          <w:rFonts w:eastAsia="Times New Roman" w:cs="Times New Roman"/>
          <w:sz w:val="24"/>
          <w:szCs w:val="24"/>
        </w:rPr>
        <w:br/>
        <w:t>(1865-1870)</w:t>
      </w:r>
    </w:p>
    <w:p w:rsidR="00345F04" w:rsidRPr="00345F04" w:rsidRDefault="00345F04" w:rsidP="00345F04">
      <w:pPr>
        <w:spacing w:after="0"/>
        <w:rPr>
          <w:rFonts w:eastAsia="Times New Roman" w:cs="Times New Roman"/>
          <w:sz w:val="24"/>
          <w:szCs w:val="24"/>
        </w:rPr>
      </w:pPr>
    </w:p>
    <w:p w:rsidR="00345F04" w:rsidRPr="00345F04" w:rsidRDefault="00345F04" w:rsidP="00345F04">
      <w:pPr>
        <w:spacing w:before="100" w:beforeAutospacing="1" w:after="100" w:afterAutospacing="1"/>
        <w:rPr>
          <w:rFonts w:eastAsia="Times New Roman" w:cs="Times New Roman"/>
          <w:sz w:val="24"/>
          <w:szCs w:val="24"/>
        </w:rPr>
      </w:pPr>
      <w:r w:rsidRPr="00345F04">
        <w:rPr>
          <w:rFonts w:eastAsia="Times New Roman" w:cs="Times New Roman"/>
          <w:sz w:val="20"/>
          <w:szCs w:val="20"/>
        </w:rPr>
        <w:t>A SINGLE-MINDED</w:t>
      </w:r>
      <w:r w:rsidRPr="00345F04">
        <w:rPr>
          <w:rFonts w:eastAsia="Times New Roman" w:cs="Times New Roman"/>
          <w:sz w:val="24"/>
          <w:szCs w:val="24"/>
        </w:rPr>
        <w:t xml:space="preserve"> devotion to specie payments gave a unity to the hard money cause that the anti-</w:t>
      </w:r>
      <w:proofErr w:type="spellStart"/>
      <w:r w:rsidRPr="00345F04">
        <w:rPr>
          <w:rFonts w:eastAsia="Times New Roman" w:cs="Times New Roman"/>
          <w:sz w:val="24"/>
          <w:szCs w:val="24"/>
        </w:rPr>
        <w:t>resumptionists</w:t>
      </w:r>
      <w:proofErr w:type="spellEnd"/>
      <w:r w:rsidRPr="00345F04">
        <w:rPr>
          <w:rFonts w:eastAsia="Times New Roman" w:cs="Times New Roman"/>
          <w:sz w:val="24"/>
          <w:szCs w:val="24"/>
        </w:rPr>
        <w:t xml:space="preserve">, distracted and divided by bonds and banks, could not match.  Financial conservatives often argued over means and bickered over details.  Some were intransigent </w:t>
      </w:r>
      <w:proofErr w:type="spellStart"/>
      <w:r w:rsidRPr="00345F04">
        <w:rPr>
          <w:rFonts w:eastAsia="Times New Roman" w:cs="Times New Roman"/>
          <w:sz w:val="24"/>
          <w:szCs w:val="24"/>
        </w:rPr>
        <w:t>contractionists</w:t>
      </w:r>
      <w:proofErr w:type="spellEnd"/>
      <w:r w:rsidRPr="00345F04">
        <w:rPr>
          <w:rFonts w:eastAsia="Times New Roman" w:cs="Times New Roman"/>
          <w:sz w:val="24"/>
          <w:szCs w:val="24"/>
        </w:rPr>
        <w:t xml:space="preserve"> who expected quick and total withdrawal of all </w:t>
      </w:r>
      <w:proofErr w:type="gramStart"/>
      <w:r w:rsidRPr="00345F04">
        <w:rPr>
          <w:rFonts w:eastAsia="Times New Roman" w:cs="Times New Roman"/>
          <w:sz w:val="24"/>
          <w:szCs w:val="24"/>
        </w:rPr>
        <w:t>greenbacks ;</w:t>
      </w:r>
      <w:proofErr w:type="gramEnd"/>
      <w:r w:rsidRPr="00345F04">
        <w:rPr>
          <w:rFonts w:eastAsia="Times New Roman" w:cs="Times New Roman"/>
          <w:sz w:val="24"/>
          <w:szCs w:val="24"/>
        </w:rPr>
        <w:t xml:space="preserve">  others, advocates of gradual and partial contraction ;  still others, men who believed it possible to resume without reducing circulation.  But unlike the motley band of Copperheads, labor reformers, congenital dissenters, and maverick businessmen whom they opposed, their sole end, one undisturbed by side issues, was the return to the </w:t>
      </w:r>
      <w:proofErr w:type="spellStart"/>
      <w:r w:rsidRPr="00345F04">
        <w:rPr>
          <w:rFonts w:eastAsia="Times New Roman" w:cs="Times New Roman"/>
          <w:sz w:val="24"/>
          <w:szCs w:val="24"/>
        </w:rPr>
        <w:t>the</w:t>
      </w:r>
      <w:proofErr w:type="spellEnd"/>
      <w:r w:rsidRPr="00345F04">
        <w:rPr>
          <w:rFonts w:eastAsia="Times New Roman" w:cs="Times New Roman"/>
          <w:sz w:val="24"/>
          <w:szCs w:val="24"/>
        </w:rPr>
        <w:t xml:space="preserve"> gold standard.  This does not mean that all men arrived at a hard money position by the same road.  The motives of the conservatives were as mixed and complex as their adversaries’.  Hard money men responded to conscience and duty as well as interest, and in their own way they were as receptive as their opponents to the cultural and intellectual influences which surrounded them.</w:t>
      </w:r>
    </w:p>
    <w:p w:rsidR="00345F04" w:rsidRPr="00345F04" w:rsidRDefault="00345F04" w:rsidP="00345F04">
      <w:pPr>
        <w:spacing w:before="100" w:beforeAutospacing="1" w:after="100" w:afterAutospacing="1"/>
        <w:rPr>
          <w:rFonts w:eastAsia="Times New Roman" w:cs="Times New Roman"/>
          <w:sz w:val="24"/>
          <w:szCs w:val="24"/>
        </w:rPr>
      </w:pPr>
      <w:r w:rsidRPr="00345F04">
        <w:rPr>
          <w:rFonts w:eastAsia="Times New Roman" w:cs="Times New Roman"/>
          <w:sz w:val="24"/>
          <w:szCs w:val="24"/>
        </w:rPr>
        <w:t xml:space="preserve">If the </w:t>
      </w:r>
      <w:proofErr w:type="spellStart"/>
      <w:r w:rsidRPr="00345F04">
        <w:rPr>
          <w:rFonts w:eastAsia="Times New Roman" w:cs="Times New Roman"/>
          <w:sz w:val="24"/>
          <w:szCs w:val="24"/>
        </w:rPr>
        <w:t>Pendletonians</w:t>
      </w:r>
      <w:proofErr w:type="spellEnd"/>
      <w:r w:rsidRPr="00345F04">
        <w:rPr>
          <w:rFonts w:eastAsia="Times New Roman" w:cs="Times New Roman"/>
          <w:sz w:val="24"/>
          <w:szCs w:val="24"/>
        </w:rPr>
        <w:t xml:space="preserve"> and labor reformers drew strength from secular Agrarianism, hard money was infused with the values of American Protestantism.  As we have seen, a Protestant concern with economic affairs was transmitted from Geneva to Britain and then transplanted to American soil by men of puritan outlook.  The </w:t>
      </w:r>
      <w:proofErr w:type="gramStart"/>
      <w:r w:rsidRPr="00345F04">
        <w:rPr>
          <w:rFonts w:eastAsia="Times New Roman" w:cs="Times New Roman"/>
          <w:sz w:val="24"/>
          <w:szCs w:val="24"/>
        </w:rPr>
        <w:t>financial</w:t>
      </w:r>
      <w:proofErr w:type="gramEnd"/>
      <w:r w:rsidRPr="00345F04">
        <w:rPr>
          <w:rFonts w:eastAsia="Times New Roman" w:cs="Times New Roman"/>
          <w:sz w:val="24"/>
          <w:szCs w:val="24"/>
        </w:rPr>
        <w:t xml:space="preserve"> ferment after 1865 inevitably reawakened this concern.  To the ministry, contemporary economic issues were moral issues, and they never doubted that the postwar money question came within their purview as moral guardians of the nation.  They agreed with the Reverend Lyman Atwater that “economics and ethics largely interlock,” and accepted Leonard Bacon’s dictum that “any honest man” could “understand ... financial questions because they are also, and equally, moral questions.”  Among public issues of the day, only the fate of the freedmen was to engage the Protestant, and particularly the Calvinist, clergy and religious press so completely as the money question.</w:t>
      </w:r>
    </w:p>
    <w:p w:rsidR="00345F04" w:rsidRPr="00345F04" w:rsidRDefault="00345F04" w:rsidP="00345F04">
      <w:pPr>
        <w:spacing w:before="100" w:beforeAutospacing="1" w:after="100" w:afterAutospacing="1"/>
        <w:rPr>
          <w:rFonts w:eastAsia="Times New Roman" w:cs="Times New Roman"/>
          <w:sz w:val="24"/>
          <w:szCs w:val="24"/>
        </w:rPr>
      </w:pPr>
      <w:r w:rsidRPr="00345F04">
        <w:rPr>
          <w:rFonts w:eastAsia="Times New Roman" w:cs="Times New Roman"/>
          <w:sz w:val="24"/>
          <w:szCs w:val="24"/>
        </w:rPr>
        <w:t xml:space="preserve">From the very first, the ministers and the religious editors were active partisans who identified hard money with virtue.  The blunt declaration of the New York </w:t>
      </w:r>
      <w:r w:rsidRPr="00345F04">
        <w:rPr>
          <w:rFonts w:eastAsia="Times New Roman" w:cs="Times New Roman"/>
          <w:i/>
          <w:iCs/>
          <w:sz w:val="24"/>
          <w:szCs w:val="24"/>
        </w:rPr>
        <w:t>Christian Advocate</w:t>
      </w:r>
      <w:r w:rsidRPr="00345F04">
        <w:rPr>
          <w:rFonts w:eastAsia="Times New Roman" w:cs="Times New Roman"/>
          <w:sz w:val="24"/>
          <w:szCs w:val="24"/>
        </w:rPr>
        <w:t xml:space="preserve"> that “atheism is not worse in religion than an unstable or irredeemable currency in political economy,” expressed the settled conviction of the great majority of Protestant leaders.  Specifically, the religious indictment of soft money had two parts.  Specie resumption was a question of common honesty.  As the </w:t>
      </w:r>
      <w:r w:rsidRPr="00345F04">
        <w:rPr>
          <w:rFonts w:eastAsia="Times New Roman" w:cs="Times New Roman"/>
          <w:i/>
          <w:iCs/>
          <w:sz w:val="24"/>
          <w:szCs w:val="24"/>
        </w:rPr>
        <w:t>Congregationalist and Boston Recorder</w:t>
      </w:r>
      <w:r w:rsidRPr="00345F04">
        <w:rPr>
          <w:rFonts w:eastAsia="Times New Roman" w:cs="Times New Roman"/>
          <w:sz w:val="24"/>
          <w:szCs w:val="24"/>
        </w:rPr>
        <w:t xml:space="preserve"> noted, expediency had become the country’s guiding star with regard to the currency.  Politics, momentary convenience, immediate economic advantage, all determined public policy.  But these were “merely incidental and collateral.”  “The claims of justice and honesty come first and that which is just and honest is always expedient.”  The paper system was also a danger to public morality.  “It is hardly an exaggeration to say,” declared the </w:t>
      </w:r>
      <w:r w:rsidRPr="00345F04">
        <w:rPr>
          <w:rFonts w:eastAsia="Times New Roman" w:cs="Times New Roman"/>
          <w:i/>
          <w:iCs/>
          <w:sz w:val="24"/>
          <w:szCs w:val="24"/>
        </w:rPr>
        <w:t>Christian Examiner</w:t>
      </w:r>
      <w:r w:rsidRPr="00345F04">
        <w:rPr>
          <w:rFonts w:eastAsia="Times New Roman" w:cs="Times New Roman"/>
          <w:sz w:val="24"/>
          <w:szCs w:val="24"/>
        </w:rPr>
        <w:t xml:space="preserve"> of Boston, “that to the disordered condition of the currency we owe the chief part of the extravagance and dishonesty in mercantile circles, and so much of the corruption in public offices as is not due to our imbecile method of filling these offices.”  “All other breaches of faith and morality which have been so pregnant with public and private disaster,” wrote Atwater in 1874, “receive stimulus and nutriment from the fundamental breach of faith and morality by the nation itself, in not taking steps to redeem with dollars its own promises to pay dollars.”</w:t>
      </w:r>
    </w:p>
    <w:p w:rsidR="00345F04" w:rsidRPr="00345F04" w:rsidRDefault="00345F04" w:rsidP="00345F04">
      <w:pPr>
        <w:spacing w:before="100" w:beforeAutospacing="1" w:after="100" w:afterAutospacing="1"/>
        <w:rPr>
          <w:rFonts w:eastAsia="Times New Roman" w:cs="Times New Roman"/>
          <w:sz w:val="24"/>
          <w:szCs w:val="24"/>
        </w:rPr>
      </w:pPr>
      <w:r w:rsidRPr="00345F04">
        <w:rPr>
          <w:rFonts w:eastAsia="Times New Roman" w:cs="Times New Roman"/>
          <w:sz w:val="24"/>
          <w:szCs w:val="24"/>
        </w:rPr>
        <w:t>If the greenbacks evoked a moral judgment, the ethical import of the bond question was still plainer.  The national debt “represent[</w:t>
      </w:r>
      <w:proofErr w:type="spellStart"/>
      <w:r w:rsidRPr="00345F04">
        <w:rPr>
          <w:rFonts w:eastAsia="Times New Roman" w:cs="Times New Roman"/>
          <w:sz w:val="24"/>
          <w:szCs w:val="24"/>
        </w:rPr>
        <w:t>ed</w:t>
      </w:r>
      <w:proofErr w:type="spellEnd"/>
      <w:r w:rsidRPr="00345F04">
        <w:rPr>
          <w:rFonts w:eastAsia="Times New Roman" w:cs="Times New Roman"/>
          <w:sz w:val="24"/>
          <w:szCs w:val="24"/>
        </w:rPr>
        <w:t xml:space="preserve">] the national conscience,” and the “first duty of the nation” was “to make its word </w:t>
      </w:r>
      <w:r w:rsidRPr="00345F04">
        <w:rPr>
          <w:rFonts w:eastAsia="Times New Roman" w:cs="Times New Roman"/>
          <w:sz w:val="24"/>
          <w:szCs w:val="24"/>
        </w:rPr>
        <w:lastRenderedPageBreak/>
        <w:t>good.”  “If the nation should prove false to its present engagements, entered into before the whole world, and in circumstances peculiarly solemn,” where was “the guarantee that it may not prove false to individuals in other things.”  “The true course” was “to maintain the national faith by adhering to its sacred obligations.”</w:t>
      </w:r>
    </w:p>
    <w:p w:rsidR="00345F04" w:rsidRPr="00345F04" w:rsidRDefault="00345F04" w:rsidP="00345F04">
      <w:pPr>
        <w:spacing w:before="100" w:beforeAutospacing="1" w:after="100" w:afterAutospacing="1"/>
        <w:rPr>
          <w:rFonts w:eastAsia="Times New Roman" w:cs="Times New Roman"/>
          <w:sz w:val="24"/>
          <w:szCs w:val="24"/>
        </w:rPr>
      </w:pPr>
      <w:r w:rsidRPr="00345F04">
        <w:rPr>
          <w:rFonts w:eastAsia="Times New Roman" w:cs="Times New Roman"/>
          <w:sz w:val="24"/>
          <w:szCs w:val="24"/>
        </w:rPr>
        <w:t xml:space="preserve">Nor in arguing the money issue could the agents of organized Protestantism refrain from publicly judging specific persons and policies.  In the ’60s McCulloch and his partisans were fulsomely praised.  The widely circulated New York </w:t>
      </w:r>
      <w:r w:rsidRPr="00345F04">
        <w:rPr>
          <w:rFonts w:eastAsia="Times New Roman" w:cs="Times New Roman"/>
          <w:i/>
          <w:iCs/>
          <w:sz w:val="24"/>
          <w:szCs w:val="24"/>
        </w:rPr>
        <w:t>Independent</w:t>
      </w:r>
      <w:r w:rsidRPr="00345F04">
        <w:rPr>
          <w:rFonts w:eastAsia="Times New Roman" w:cs="Times New Roman"/>
          <w:sz w:val="24"/>
          <w:szCs w:val="24"/>
        </w:rPr>
        <w:t xml:space="preserve"> applauded McCulloch’s rebuke to Henry Carey in 1865 and added that “prices must continue to go </w:t>
      </w:r>
      <w:r w:rsidRPr="00345F04">
        <w:rPr>
          <w:rFonts w:eastAsia="Times New Roman" w:cs="Times New Roman"/>
          <w:i/>
          <w:iCs/>
          <w:sz w:val="24"/>
          <w:szCs w:val="24"/>
        </w:rPr>
        <w:t xml:space="preserve">down, </w:t>
      </w:r>
      <w:r w:rsidRPr="00345F04">
        <w:rPr>
          <w:rFonts w:eastAsia="Times New Roman" w:cs="Times New Roman"/>
          <w:i/>
          <w:iCs/>
          <w:sz w:val="20"/>
          <w:szCs w:val="20"/>
        </w:rPr>
        <w:t>DOWN</w:t>
      </w:r>
      <w:r w:rsidRPr="00345F04">
        <w:rPr>
          <w:rFonts w:eastAsia="Times New Roman" w:cs="Times New Roman"/>
          <w:sz w:val="24"/>
          <w:szCs w:val="24"/>
        </w:rPr>
        <w:t xml:space="preserve"> the banks and the Government resume specie </w:t>
      </w:r>
      <w:proofErr w:type="gramStart"/>
      <w:r w:rsidRPr="00345F04">
        <w:rPr>
          <w:rFonts w:eastAsia="Times New Roman" w:cs="Times New Roman"/>
          <w:sz w:val="24"/>
          <w:szCs w:val="24"/>
        </w:rPr>
        <w:t>payments ;</w:t>
      </w:r>
      <w:proofErr w:type="gramEnd"/>
      <w:r w:rsidRPr="00345F04">
        <w:rPr>
          <w:rFonts w:eastAsia="Times New Roman" w:cs="Times New Roman"/>
          <w:sz w:val="24"/>
          <w:szCs w:val="24"/>
        </w:rPr>
        <w:t xml:space="preserve">  and that glorious era cannot come a minute too quick.”  The </w:t>
      </w:r>
      <w:r w:rsidRPr="00345F04">
        <w:rPr>
          <w:rFonts w:eastAsia="Times New Roman" w:cs="Times New Roman"/>
          <w:i/>
          <w:iCs/>
          <w:sz w:val="24"/>
          <w:szCs w:val="24"/>
        </w:rPr>
        <w:t>Christian Mirror</w:t>
      </w:r>
      <w:r w:rsidRPr="00345F04">
        <w:rPr>
          <w:rFonts w:eastAsia="Times New Roman" w:cs="Times New Roman"/>
          <w:sz w:val="24"/>
          <w:szCs w:val="24"/>
        </w:rPr>
        <w:t xml:space="preserve"> of Portland, Maine, carried the Secretary’s Fort Wayne speech under the heading “Sound &amp; Hopeful Words,” and later endorsed the </w:t>
      </w:r>
      <w:proofErr w:type="spellStart"/>
      <w:r w:rsidRPr="00345F04">
        <w:rPr>
          <w:rFonts w:eastAsia="Times New Roman" w:cs="Times New Roman"/>
          <w:sz w:val="24"/>
          <w:szCs w:val="24"/>
        </w:rPr>
        <w:t>contractionist</w:t>
      </w:r>
      <w:proofErr w:type="spellEnd"/>
      <w:r w:rsidRPr="00345F04">
        <w:rPr>
          <w:rFonts w:eastAsia="Times New Roman" w:cs="Times New Roman"/>
          <w:sz w:val="24"/>
          <w:szCs w:val="24"/>
        </w:rPr>
        <w:t xml:space="preserve"> recommendations in President Johnson’s 1866 Annual Message.  The Ohio Idea, on the other hand, was a “base renunciation of our sacred honor”;</w:t>
      </w:r>
      <w:proofErr w:type="gramStart"/>
      <w:r w:rsidRPr="00345F04">
        <w:rPr>
          <w:rFonts w:eastAsia="Times New Roman" w:cs="Times New Roman"/>
          <w:sz w:val="24"/>
          <w:szCs w:val="24"/>
        </w:rPr>
        <w:t>  Pendleton</w:t>
      </w:r>
      <w:proofErr w:type="gramEnd"/>
      <w:r w:rsidRPr="00345F04">
        <w:rPr>
          <w:rFonts w:eastAsia="Times New Roman" w:cs="Times New Roman"/>
          <w:sz w:val="24"/>
          <w:szCs w:val="24"/>
        </w:rPr>
        <w:t xml:space="preserve"> and Butler were “demagogues” and their scheme to tax the bonds and pay them in paper would “disgrace us in the eyes of all Christendom.”  Henry Ward Beecher, the most popular pulpit orator of the day, preached a financial sermon on the text “thou shalt not steal,” scolding the Democrats for adopting the Ohio Idea in their 1868 platform.  Pendleton’s race for the Ohio Governorship in 1869 incited the Chicago </w:t>
      </w:r>
      <w:r w:rsidRPr="00345F04">
        <w:rPr>
          <w:rFonts w:eastAsia="Times New Roman" w:cs="Times New Roman"/>
          <w:i/>
          <w:iCs/>
          <w:sz w:val="24"/>
          <w:szCs w:val="24"/>
        </w:rPr>
        <w:t>Advance</w:t>
      </w:r>
      <w:r w:rsidRPr="00345F04">
        <w:rPr>
          <w:rFonts w:eastAsia="Times New Roman" w:cs="Times New Roman"/>
          <w:sz w:val="24"/>
          <w:szCs w:val="24"/>
        </w:rPr>
        <w:t xml:space="preserve"> into bald political partisanship.  “It is a matter of national import that Mr. Pendleton be defeated,” </w:t>
      </w:r>
      <w:proofErr w:type="gramStart"/>
      <w:r w:rsidRPr="00345F04">
        <w:rPr>
          <w:rFonts w:eastAsia="Times New Roman" w:cs="Times New Roman"/>
          <w:sz w:val="24"/>
          <w:szCs w:val="24"/>
        </w:rPr>
        <w:t>editor</w:t>
      </w:r>
      <w:proofErr w:type="gramEnd"/>
      <w:r w:rsidRPr="00345F04">
        <w:rPr>
          <w:rFonts w:eastAsia="Times New Roman" w:cs="Times New Roman"/>
          <w:sz w:val="24"/>
          <w:szCs w:val="24"/>
        </w:rPr>
        <w:t xml:space="preserve"> A.B. Nettleton told his readers, “for his election ... would be a blow to the public credit not to say a slight upon Ohio’s patriotic dead.”  Following Pendleton’s defeat, Nettleton wrote his successful opponent, Rutherford </w:t>
      </w:r>
      <w:proofErr w:type="gramStart"/>
      <w:r w:rsidRPr="00345F04">
        <w:rPr>
          <w:rFonts w:eastAsia="Times New Roman" w:cs="Times New Roman"/>
          <w:sz w:val="24"/>
          <w:szCs w:val="24"/>
        </w:rPr>
        <w:t>Hayes, that</w:t>
      </w:r>
      <w:proofErr w:type="gramEnd"/>
      <w:r w:rsidRPr="00345F04">
        <w:rPr>
          <w:rFonts w:eastAsia="Times New Roman" w:cs="Times New Roman"/>
          <w:sz w:val="24"/>
          <w:szCs w:val="24"/>
        </w:rPr>
        <w:t xml:space="preserve"> “the overthrow of the greenback heresy ... is really an event of national and historic import.”</w:t>
      </w:r>
    </w:p>
    <w:p w:rsidR="00345F04" w:rsidRPr="00345F04" w:rsidRDefault="00345F04" w:rsidP="00345F04">
      <w:pPr>
        <w:spacing w:before="100" w:beforeAutospacing="1" w:after="100" w:afterAutospacing="1"/>
        <w:rPr>
          <w:rFonts w:eastAsia="Times New Roman" w:cs="Times New Roman"/>
          <w:sz w:val="24"/>
          <w:szCs w:val="24"/>
        </w:rPr>
      </w:pPr>
      <w:r w:rsidRPr="00345F04">
        <w:rPr>
          <w:rFonts w:eastAsia="Times New Roman" w:cs="Times New Roman"/>
          <w:sz w:val="24"/>
          <w:szCs w:val="24"/>
        </w:rPr>
        <w:t xml:space="preserve">The labor reformers were also rebuked for their currency views.  Beecher’s </w:t>
      </w:r>
      <w:r w:rsidRPr="00345F04">
        <w:rPr>
          <w:rFonts w:eastAsia="Times New Roman" w:cs="Times New Roman"/>
          <w:i/>
          <w:iCs/>
          <w:sz w:val="24"/>
          <w:szCs w:val="24"/>
        </w:rPr>
        <w:t>Christian Union</w:t>
      </w:r>
      <w:r w:rsidRPr="00345F04">
        <w:rPr>
          <w:rFonts w:eastAsia="Times New Roman" w:cs="Times New Roman"/>
          <w:sz w:val="24"/>
          <w:szCs w:val="24"/>
        </w:rPr>
        <w:t xml:space="preserve"> decided that the </w:t>
      </w:r>
      <w:proofErr w:type="spellStart"/>
      <w:r w:rsidRPr="00345F04">
        <w:rPr>
          <w:rFonts w:eastAsia="Times New Roman" w:cs="Times New Roman"/>
          <w:sz w:val="24"/>
          <w:szCs w:val="24"/>
        </w:rPr>
        <w:t>interconvertible</w:t>
      </w:r>
      <w:proofErr w:type="spellEnd"/>
      <w:r w:rsidRPr="00345F04">
        <w:rPr>
          <w:rFonts w:eastAsia="Times New Roman" w:cs="Times New Roman"/>
          <w:sz w:val="24"/>
          <w:szCs w:val="24"/>
        </w:rPr>
        <w:t xml:space="preserve"> bond looked “remarkably like irredeemable paper currency.”  The </w:t>
      </w:r>
      <w:r w:rsidRPr="00345F04">
        <w:rPr>
          <w:rFonts w:eastAsia="Times New Roman" w:cs="Times New Roman"/>
          <w:i/>
          <w:iCs/>
          <w:sz w:val="24"/>
          <w:szCs w:val="24"/>
        </w:rPr>
        <w:t>Advance</w:t>
      </w:r>
      <w:r w:rsidRPr="00345F04">
        <w:rPr>
          <w:rFonts w:eastAsia="Times New Roman" w:cs="Times New Roman"/>
          <w:sz w:val="24"/>
          <w:szCs w:val="24"/>
        </w:rPr>
        <w:t xml:space="preserve"> was unbecomingly supercilious about the 1869 Labor Congress </w:t>
      </w:r>
      <w:proofErr w:type="gramStart"/>
      <w:r w:rsidRPr="00345F04">
        <w:rPr>
          <w:rFonts w:eastAsia="Times New Roman" w:cs="Times New Roman"/>
          <w:sz w:val="24"/>
          <w:szCs w:val="24"/>
        </w:rPr>
        <w:t>platform :</w:t>
      </w:r>
      <w:proofErr w:type="gramEnd"/>
      <w:r w:rsidRPr="00345F04">
        <w:rPr>
          <w:rFonts w:eastAsia="Times New Roman" w:cs="Times New Roman"/>
          <w:sz w:val="24"/>
          <w:szCs w:val="24"/>
        </w:rPr>
        <w:t>  “Of the English and the logic of these resolves we have not a word to say :  they are matters to be wept over.  The declaration that somebody is attempting to ‘subvert the government of our fathers and establish in its ruins an empire,’ etc. is such a happy cross between lunacy and comedy that we have no heart to criticize it soberly.”  In the end Nettleton complacently dismissed it as the work of “soft handed idlers,” not the real workingmen of the nation.</w:t>
      </w:r>
    </w:p>
    <w:p w:rsidR="00345F04" w:rsidRPr="00345F04" w:rsidRDefault="00345F04" w:rsidP="00345F04">
      <w:pPr>
        <w:spacing w:before="100" w:beforeAutospacing="1" w:after="100" w:afterAutospacing="1"/>
        <w:rPr>
          <w:rFonts w:eastAsia="Times New Roman" w:cs="Times New Roman"/>
          <w:sz w:val="24"/>
          <w:szCs w:val="24"/>
        </w:rPr>
      </w:pPr>
      <w:r w:rsidRPr="00345F04">
        <w:rPr>
          <w:rFonts w:eastAsia="Times New Roman" w:cs="Times New Roman"/>
          <w:sz w:val="24"/>
          <w:szCs w:val="24"/>
        </w:rPr>
        <w:t xml:space="preserve">The Calvinist denominations took the lead in the religious attack on heretical financial ideas.  Atwater was a Presbyterian, Bacon a </w:t>
      </w:r>
      <w:proofErr w:type="gramStart"/>
      <w:r w:rsidRPr="00345F04">
        <w:rPr>
          <w:rFonts w:eastAsia="Times New Roman" w:cs="Times New Roman"/>
          <w:sz w:val="24"/>
          <w:szCs w:val="24"/>
        </w:rPr>
        <w:t>Congregationalist ;</w:t>
      </w:r>
      <w:proofErr w:type="gramEnd"/>
      <w:r w:rsidRPr="00345F04">
        <w:rPr>
          <w:rFonts w:eastAsia="Times New Roman" w:cs="Times New Roman"/>
          <w:sz w:val="24"/>
          <w:szCs w:val="24"/>
        </w:rPr>
        <w:t xml:space="preserve">  the </w:t>
      </w:r>
      <w:r w:rsidRPr="00345F04">
        <w:rPr>
          <w:rFonts w:eastAsia="Times New Roman" w:cs="Times New Roman"/>
          <w:i/>
          <w:iCs/>
          <w:sz w:val="24"/>
          <w:szCs w:val="24"/>
        </w:rPr>
        <w:t>Advance</w:t>
      </w:r>
      <w:r w:rsidRPr="00345F04">
        <w:rPr>
          <w:rFonts w:eastAsia="Times New Roman" w:cs="Times New Roman"/>
          <w:sz w:val="24"/>
          <w:szCs w:val="24"/>
        </w:rPr>
        <w:t xml:space="preserve">, the </w:t>
      </w:r>
      <w:r w:rsidRPr="00345F04">
        <w:rPr>
          <w:rFonts w:eastAsia="Times New Roman" w:cs="Times New Roman"/>
          <w:i/>
          <w:iCs/>
          <w:sz w:val="24"/>
          <w:szCs w:val="24"/>
        </w:rPr>
        <w:t>Christian Mirror</w:t>
      </w:r>
      <w:r w:rsidRPr="00345F04">
        <w:rPr>
          <w:rFonts w:eastAsia="Times New Roman" w:cs="Times New Roman"/>
          <w:sz w:val="24"/>
          <w:szCs w:val="24"/>
        </w:rPr>
        <w:t xml:space="preserve">, as well as the </w:t>
      </w:r>
      <w:r w:rsidRPr="00345F04">
        <w:rPr>
          <w:rFonts w:eastAsia="Times New Roman" w:cs="Times New Roman"/>
          <w:i/>
          <w:iCs/>
          <w:sz w:val="24"/>
          <w:szCs w:val="24"/>
        </w:rPr>
        <w:t>Boston Recorder</w:t>
      </w:r>
      <w:r w:rsidRPr="00345F04">
        <w:rPr>
          <w:rFonts w:eastAsia="Times New Roman" w:cs="Times New Roman"/>
          <w:sz w:val="24"/>
          <w:szCs w:val="24"/>
        </w:rPr>
        <w:t xml:space="preserve"> and the </w:t>
      </w:r>
      <w:r w:rsidRPr="00345F04">
        <w:rPr>
          <w:rFonts w:eastAsia="Times New Roman" w:cs="Times New Roman"/>
          <w:i/>
          <w:iCs/>
          <w:sz w:val="24"/>
          <w:szCs w:val="24"/>
        </w:rPr>
        <w:t>Presbyterian Banner</w:t>
      </w:r>
      <w:r w:rsidRPr="00345F04">
        <w:rPr>
          <w:rFonts w:eastAsia="Times New Roman" w:cs="Times New Roman"/>
          <w:sz w:val="24"/>
          <w:szCs w:val="24"/>
        </w:rPr>
        <w:t xml:space="preserve"> among those quoted above, were all Calvinist papers.  Other Protestant groups opposed soft money.  The New York </w:t>
      </w:r>
      <w:r w:rsidRPr="00345F04">
        <w:rPr>
          <w:rFonts w:eastAsia="Times New Roman" w:cs="Times New Roman"/>
          <w:i/>
          <w:iCs/>
          <w:sz w:val="24"/>
          <w:szCs w:val="24"/>
        </w:rPr>
        <w:t>Christian Advocate</w:t>
      </w:r>
      <w:r w:rsidRPr="00345F04">
        <w:rPr>
          <w:rFonts w:eastAsia="Times New Roman" w:cs="Times New Roman"/>
          <w:sz w:val="24"/>
          <w:szCs w:val="24"/>
        </w:rPr>
        <w:t xml:space="preserve"> was the country’s leading Methodist weekly, the Chicago </w:t>
      </w:r>
      <w:r w:rsidRPr="00345F04">
        <w:rPr>
          <w:rFonts w:eastAsia="Times New Roman" w:cs="Times New Roman"/>
          <w:i/>
          <w:iCs/>
          <w:sz w:val="24"/>
          <w:szCs w:val="24"/>
        </w:rPr>
        <w:t>Standard</w:t>
      </w:r>
      <w:r w:rsidRPr="00345F04">
        <w:rPr>
          <w:rFonts w:eastAsia="Times New Roman" w:cs="Times New Roman"/>
          <w:sz w:val="24"/>
          <w:szCs w:val="24"/>
        </w:rPr>
        <w:t xml:space="preserve"> was Baptist, and one Baptist minister, the Reverend A.H. Strong of Cleveland, engaged in a loud public fracas with Butler over paying the 5-20s.  But throughout the debate, the Calvinist voice is heard most loudly.  In addition to the orthodox Reformed weeklies, two of the papers quoted, the </w:t>
      </w:r>
      <w:r w:rsidRPr="00345F04">
        <w:rPr>
          <w:rFonts w:eastAsia="Times New Roman" w:cs="Times New Roman"/>
          <w:i/>
          <w:iCs/>
          <w:sz w:val="24"/>
          <w:szCs w:val="24"/>
        </w:rPr>
        <w:t>Christian Examiner</w:t>
      </w:r>
      <w:r w:rsidRPr="00345F04">
        <w:rPr>
          <w:rFonts w:eastAsia="Times New Roman" w:cs="Times New Roman"/>
          <w:sz w:val="24"/>
          <w:szCs w:val="24"/>
        </w:rPr>
        <w:t xml:space="preserve"> and the </w:t>
      </w:r>
      <w:r w:rsidRPr="00345F04">
        <w:rPr>
          <w:rFonts w:eastAsia="Times New Roman" w:cs="Times New Roman"/>
          <w:i/>
          <w:iCs/>
          <w:sz w:val="24"/>
          <w:szCs w:val="24"/>
        </w:rPr>
        <w:t>Christian Register</w:t>
      </w:r>
      <w:r w:rsidRPr="00345F04">
        <w:rPr>
          <w:rFonts w:eastAsia="Times New Roman" w:cs="Times New Roman"/>
          <w:sz w:val="24"/>
          <w:szCs w:val="24"/>
        </w:rPr>
        <w:t xml:space="preserve">, were Unitarian and retained much of the old Calvinist concern for the moral public life.  The </w:t>
      </w:r>
      <w:r w:rsidRPr="00345F04">
        <w:rPr>
          <w:rFonts w:eastAsia="Times New Roman" w:cs="Times New Roman"/>
          <w:i/>
          <w:iCs/>
          <w:sz w:val="24"/>
          <w:szCs w:val="24"/>
        </w:rPr>
        <w:t>Independent</w:t>
      </w:r>
      <w:r w:rsidRPr="00345F04">
        <w:rPr>
          <w:rFonts w:eastAsia="Times New Roman" w:cs="Times New Roman"/>
          <w:sz w:val="24"/>
          <w:szCs w:val="24"/>
        </w:rPr>
        <w:t xml:space="preserve"> under Theodore Tilton was Congregationalist at its founding and did not abandon its Calvinist perspective with its disaffiliation.  Beecher was originally a Congregationalist, and in the following decade his </w:t>
      </w:r>
      <w:r w:rsidRPr="00345F04">
        <w:rPr>
          <w:rFonts w:eastAsia="Times New Roman" w:cs="Times New Roman"/>
          <w:i/>
          <w:iCs/>
          <w:sz w:val="24"/>
          <w:szCs w:val="24"/>
        </w:rPr>
        <w:t>Christian Union</w:t>
      </w:r>
      <w:r w:rsidRPr="00345F04">
        <w:rPr>
          <w:rFonts w:eastAsia="Times New Roman" w:cs="Times New Roman"/>
          <w:sz w:val="24"/>
          <w:szCs w:val="24"/>
        </w:rPr>
        <w:t xml:space="preserve">, along with the Dutch Reformed </w:t>
      </w:r>
      <w:r w:rsidRPr="00345F04">
        <w:rPr>
          <w:rFonts w:eastAsia="Times New Roman" w:cs="Times New Roman"/>
          <w:i/>
          <w:iCs/>
          <w:sz w:val="24"/>
          <w:szCs w:val="24"/>
        </w:rPr>
        <w:t>Christian Intelligencer</w:t>
      </w:r>
      <w:r w:rsidRPr="00345F04">
        <w:rPr>
          <w:rFonts w:eastAsia="Times New Roman" w:cs="Times New Roman"/>
          <w:sz w:val="24"/>
          <w:szCs w:val="24"/>
        </w:rPr>
        <w:t>, was to uphold financial righteousness among New Yorkers.</w:t>
      </w:r>
    </w:p>
    <w:p w:rsidR="00345F04" w:rsidRPr="00345F04" w:rsidRDefault="00345F04" w:rsidP="00345F04">
      <w:pPr>
        <w:spacing w:before="100" w:beforeAutospacing="1" w:after="100" w:afterAutospacing="1"/>
        <w:rPr>
          <w:rFonts w:eastAsia="Times New Roman" w:cs="Times New Roman"/>
          <w:sz w:val="24"/>
          <w:szCs w:val="24"/>
        </w:rPr>
      </w:pPr>
      <w:r w:rsidRPr="00345F04">
        <w:rPr>
          <w:rFonts w:eastAsia="Times New Roman" w:cs="Times New Roman"/>
          <w:sz w:val="24"/>
          <w:szCs w:val="24"/>
        </w:rPr>
        <w:t xml:space="preserve">This is not to suggest that the Arminian churches condoned economic </w:t>
      </w:r>
      <w:proofErr w:type="gramStart"/>
      <w:r w:rsidRPr="00345F04">
        <w:rPr>
          <w:rFonts w:eastAsia="Times New Roman" w:cs="Times New Roman"/>
          <w:sz w:val="24"/>
          <w:szCs w:val="24"/>
        </w:rPr>
        <w:t>unorthodoxy ;</w:t>
      </w:r>
      <w:proofErr w:type="gramEnd"/>
      <w:r w:rsidRPr="00345F04">
        <w:rPr>
          <w:rFonts w:eastAsia="Times New Roman" w:cs="Times New Roman"/>
          <w:sz w:val="24"/>
          <w:szCs w:val="24"/>
        </w:rPr>
        <w:t xml:space="preserve">  they did not.  In reality all of organized and official Protestantism in America upheld sound finance.  It is largely a question of how much attention the non-Calvinist denominations devoted to public issues.  The fact is that they were far less activist and far less interested in finance than the Reformed groups.  If the Baptists and Methodists noticed the money question occasionally, the rural, fundamentalist churches, among whose communicants soft money views might be expected to flourish, were totally silent.  In a thirteen-year run of the </w:t>
      </w:r>
      <w:proofErr w:type="spellStart"/>
      <w:r w:rsidRPr="00345F04">
        <w:rPr>
          <w:rFonts w:eastAsia="Times New Roman" w:cs="Times New Roman"/>
          <w:sz w:val="24"/>
          <w:szCs w:val="24"/>
        </w:rPr>
        <w:t>Campbellite</w:t>
      </w:r>
      <w:proofErr w:type="spellEnd"/>
      <w:r w:rsidRPr="00345F04">
        <w:rPr>
          <w:rFonts w:eastAsia="Times New Roman" w:cs="Times New Roman"/>
          <w:sz w:val="24"/>
          <w:szCs w:val="24"/>
        </w:rPr>
        <w:t xml:space="preserve"> weekly, the </w:t>
      </w:r>
      <w:r w:rsidRPr="00345F04">
        <w:rPr>
          <w:rFonts w:eastAsia="Times New Roman" w:cs="Times New Roman"/>
          <w:i/>
          <w:iCs/>
          <w:sz w:val="24"/>
          <w:szCs w:val="24"/>
        </w:rPr>
        <w:t>Christian Standard</w:t>
      </w:r>
      <w:r w:rsidRPr="00345F04">
        <w:rPr>
          <w:rFonts w:eastAsia="Times New Roman" w:cs="Times New Roman"/>
          <w:sz w:val="24"/>
          <w:szCs w:val="24"/>
        </w:rPr>
        <w:t xml:space="preserve">, for example, there is not a single reference to the nation’s pressing money problems.  Equally significant at the other extreme was the indifference of the Protestant Episcopal </w:t>
      </w:r>
      <w:proofErr w:type="gramStart"/>
      <w:r w:rsidRPr="00345F04">
        <w:rPr>
          <w:rFonts w:eastAsia="Times New Roman" w:cs="Times New Roman"/>
          <w:sz w:val="24"/>
          <w:szCs w:val="24"/>
        </w:rPr>
        <w:t>church</w:t>
      </w:r>
      <w:proofErr w:type="gramEnd"/>
      <w:r w:rsidRPr="00345F04">
        <w:rPr>
          <w:rFonts w:eastAsia="Times New Roman" w:cs="Times New Roman"/>
          <w:sz w:val="24"/>
          <w:szCs w:val="24"/>
        </w:rPr>
        <w:t xml:space="preserve">, which then as now represented established wealth and social prestige.  Traditionally opposed to zealotry, imbued with an often stultifying decorum, the Episcopal </w:t>
      </w:r>
      <w:proofErr w:type="gramStart"/>
      <w:r w:rsidRPr="00345F04">
        <w:rPr>
          <w:rFonts w:eastAsia="Times New Roman" w:cs="Times New Roman"/>
          <w:sz w:val="24"/>
          <w:szCs w:val="24"/>
        </w:rPr>
        <w:t>church</w:t>
      </w:r>
      <w:proofErr w:type="gramEnd"/>
      <w:r w:rsidRPr="00345F04">
        <w:rPr>
          <w:rFonts w:eastAsia="Times New Roman" w:cs="Times New Roman"/>
          <w:sz w:val="24"/>
          <w:szCs w:val="24"/>
        </w:rPr>
        <w:t xml:space="preserve"> eschewed all political controversy.  Partisan involvement in public </w:t>
      </w:r>
      <w:r w:rsidRPr="00345F04">
        <w:rPr>
          <w:rFonts w:eastAsia="Times New Roman" w:cs="Times New Roman"/>
          <w:sz w:val="24"/>
          <w:szCs w:val="24"/>
        </w:rPr>
        <w:lastRenderedPageBreak/>
        <w:t xml:space="preserve">issues, declared the editor of the Hartford </w:t>
      </w:r>
      <w:r w:rsidRPr="00345F04">
        <w:rPr>
          <w:rFonts w:eastAsia="Times New Roman" w:cs="Times New Roman"/>
          <w:i/>
          <w:iCs/>
          <w:sz w:val="24"/>
          <w:szCs w:val="24"/>
        </w:rPr>
        <w:t>Churchman</w:t>
      </w:r>
      <w:r w:rsidRPr="00345F04">
        <w:rPr>
          <w:rFonts w:eastAsia="Times New Roman" w:cs="Times New Roman"/>
          <w:sz w:val="24"/>
          <w:szCs w:val="24"/>
        </w:rPr>
        <w:t>, was to be avoided.  It often required “more true courage to be silent than to be noisy with the crowd.”</w:t>
      </w:r>
    </w:p>
    <w:p w:rsidR="00345F04" w:rsidRPr="00345F04" w:rsidRDefault="00345F04" w:rsidP="00345F04">
      <w:pPr>
        <w:spacing w:before="100" w:beforeAutospacing="1" w:after="100" w:afterAutospacing="1"/>
        <w:rPr>
          <w:rFonts w:eastAsia="Times New Roman" w:cs="Times New Roman"/>
          <w:sz w:val="24"/>
          <w:szCs w:val="24"/>
        </w:rPr>
      </w:pPr>
      <w:r w:rsidRPr="00345F04">
        <w:rPr>
          <w:rFonts w:eastAsia="Times New Roman" w:cs="Times New Roman"/>
          <w:sz w:val="24"/>
          <w:szCs w:val="24"/>
        </w:rPr>
        <w:t xml:space="preserve">It is difficult to assess the impact of the churches on the financial debate.  However, one clear effect was to endow hard money polemics with a moral vocabulary.  According to Edward Atkinson, a prominent Massachusetts textile manufacturer, “God’s will and the nature of things” ordained hard money.  The pious McCulloch, in his 1865 Fort Wayne speech, also claimed God’s vote for honest finance.  The staid weekly, the </w:t>
      </w:r>
      <w:r w:rsidRPr="00345F04">
        <w:rPr>
          <w:rFonts w:eastAsia="Times New Roman" w:cs="Times New Roman"/>
          <w:i/>
          <w:iCs/>
          <w:sz w:val="24"/>
          <w:szCs w:val="24"/>
        </w:rPr>
        <w:t>Financier</w:t>
      </w:r>
      <w:r w:rsidRPr="00345F04">
        <w:rPr>
          <w:rFonts w:eastAsia="Times New Roman" w:cs="Times New Roman"/>
          <w:sz w:val="24"/>
          <w:szCs w:val="24"/>
        </w:rPr>
        <w:t xml:space="preserve">, saw “a connection between irredeemable paper money and the growth of financial dishonesty since the war.”  “A bad currency” did “more to debauch public and private morals,” wrote a Michigan friend to David A. Wells, than all other causes combined.  What started as pious partisanship sometimes slipped over into fanaticism.  The Christian defense of hard money eventually led to a very unchristian fetishism that gave the precious metals almost supernal powers.  At its extreme it approached demonology.  </w:t>
      </w:r>
      <w:proofErr w:type="spellStart"/>
      <w:r w:rsidRPr="00345F04">
        <w:rPr>
          <w:rFonts w:eastAsia="Times New Roman" w:cs="Times New Roman"/>
          <w:sz w:val="24"/>
          <w:szCs w:val="24"/>
        </w:rPr>
        <w:t>Wells’s</w:t>
      </w:r>
      <w:proofErr w:type="spellEnd"/>
      <w:r w:rsidRPr="00345F04">
        <w:rPr>
          <w:rFonts w:eastAsia="Times New Roman" w:cs="Times New Roman"/>
          <w:sz w:val="24"/>
          <w:szCs w:val="24"/>
        </w:rPr>
        <w:t xml:space="preserve"> friend believed that paper money exerted an “influence for bad as subtle as the evil one.”</w:t>
      </w:r>
    </w:p>
    <w:p w:rsidR="00345F04" w:rsidRPr="00345F04" w:rsidRDefault="00345F04" w:rsidP="00345F04">
      <w:pPr>
        <w:spacing w:before="100" w:beforeAutospacing="1" w:after="100" w:afterAutospacing="1"/>
        <w:rPr>
          <w:rFonts w:eastAsia="Times New Roman" w:cs="Times New Roman"/>
          <w:sz w:val="24"/>
          <w:szCs w:val="24"/>
        </w:rPr>
      </w:pPr>
      <w:r w:rsidRPr="00345F04">
        <w:rPr>
          <w:rFonts w:eastAsia="Times New Roman" w:cs="Times New Roman"/>
          <w:sz w:val="24"/>
          <w:szCs w:val="24"/>
        </w:rPr>
        <w:t>The Christian apology for hard money may seem little more than religion in the service of partisanship.  True, the clergy took sides, but it is a mistake to question either their sincerity or the sincerity of those who echoed their arguments.  Puritan values were deeply implanted in the American culture, and whether they were “church people” or agnostics, Americans could seldom disregard the stern commands of the Decalogue without emotional discomfort.  When the stakes were high enough, men might subordinate the right to the profitable, but it was seldom without some sort of inner pain.  In effect the Protestant conscience exacted a price for defiance and, all things being equal, defiance was avoided.  The role of the churches, then, was to articulate what much of the public already believed and by constant reiteration make manifest what was latent.  Under the ceaseless hortatory barrage of the pastors and the denominational press, hard money took on the odor of sanctity which gave it an immense competitive advantage with the respectable, church-going middle class.</w:t>
      </w:r>
    </w:p>
    <w:p w:rsidR="00345F04" w:rsidRPr="00345F04" w:rsidRDefault="00345F04" w:rsidP="00345F04">
      <w:pPr>
        <w:spacing w:before="100" w:beforeAutospacing="1" w:after="100" w:afterAutospacing="1"/>
        <w:rPr>
          <w:rFonts w:eastAsia="Times New Roman" w:cs="Times New Roman"/>
          <w:sz w:val="24"/>
          <w:szCs w:val="24"/>
        </w:rPr>
      </w:pPr>
      <w:r w:rsidRPr="00345F04">
        <w:rPr>
          <w:rFonts w:eastAsia="Times New Roman" w:cs="Times New Roman"/>
          <w:sz w:val="24"/>
          <w:szCs w:val="24"/>
        </w:rPr>
        <w:t xml:space="preserve">That the Protestant divines were dangerous foes of monetary “heresy” was never doubted by the heretics themselves, and they were quick to strike back at their clerical detractors.  Cameron turned Beecher’s “Thou </w:t>
      </w:r>
      <w:proofErr w:type="gramStart"/>
      <w:r w:rsidRPr="00345F04">
        <w:rPr>
          <w:rFonts w:eastAsia="Times New Roman" w:cs="Times New Roman"/>
          <w:sz w:val="24"/>
          <w:szCs w:val="24"/>
        </w:rPr>
        <w:t>Shalt</w:t>
      </w:r>
      <w:proofErr w:type="gramEnd"/>
      <w:r w:rsidRPr="00345F04">
        <w:rPr>
          <w:rFonts w:eastAsia="Times New Roman" w:cs="Times New Roman"/>
          <w:sz w:val="24"/>
          <w:szCs w:val="24"/>
        </w:rPr>
        <w:t xml:space="preserve"> not Steal” against the Brooklyn pastor’s stylish congregation—full of “shady” contractors who had amassed fortunes during the War by cheating the government.  In the ’70s Ignatius Donnelly’s </w:t>
      </w:r>
      <w:r w:rsidRPr="00345F04">
        <w:rPr>
          <w:rFonts w:eastAsia="Times New Roman" w:cs="Times New Roman"/>
          <w:i/>
          <w:iCs/>
          <w:sz w:val="24"/>
          <w:szCs w:val="24"/>
        </w:rPr>
        <w:t>Anti-Monopolist</w:t>
      </w:r>
      <w:r w:rsidRPr="00345F04">
        <w:rPr>
          <w:rFonts w:eastAsia="Times New Roman" w:cs="Times New Roman"/>
          <w:sz w:val="24"/>
          <w:szCs w:val="24"/>
        </w:rPr>
        <w:t xml:space="preserve"> called Beecher himself a “hollow old shell” for his attacks on the greenbacks, and hit below the belt by alluding to his notorious intrigue with Elizabeth Tilton.  </w:t>
      </w:r>
      <w:r w:rsidRPr="00D11FDB">
        <w:rPr>
          <w:rFonts w:eastAsia="Times New Roman" w:cs="Times New Roman"/>
          <w:sz w:val="24"/>
          <w:szCs w:val="24"/>
          <w:highlight w:val="yellow"/>
        </w:rPr>
        <w:t xml:space="preserve">The </w:t>
      </w:r>
      <w:proofErr w:type="spellStart"/>
      <w:r w:rsidRPr="00D11FDB">
        <w:rPr>
          <w:rFonts w:eastAsia="Times New Roman" w:cs="Times New Roman"/>
          <w:sz w:val="24"/>
          <w:szCs w:val="24"/>
          <w:highlight w:val="yellow"/>
        </w:rPr>
        <w:t>greenbackers</w:t>
      </w:r>
      <w:proofErr w:type="spellEnd"/>
      <w:r w:rsidRPr="00D11FDB">
        <w:rPr>
          <w:rFonts w:eastAsia="Times New Roman" w:cs="Times New Roman"/>
          <w:sz w:val="24"/>
          <w:szCs w:val="24"/>
          <w:highlight w:val="yellow"/>
        </w:rPr>
        <w:t xml:space="preserve"> scolded the editors of the church weeklies for making themselves a party to exploitation and injustice.  “The religious press has almost without exception been the allies [sic] of the bondholders and bankers in their endless schemes to fleece the public, and the mouthpiece of the monopolists and the defender of the soulless corporations that fill their pockets by robbing the toiling people.”</w:t>
      </w:r>
      <w:r w:rsidRPr="00345F04">
        <w:rPr>
          <w:rFonts w:eastAsia="Times New Roman" w:cs="Times New Roman"/>
          <w:sz w:val="24"/>
          <w:szCs w:val="24"/>
        </w:rPr>
        <w:t xml:space="preserve">  </w:t>
      </w:r>
      <w:r w:rsidRPr="00D11FDB">
        <w:rPr>
          <w:rFonts w:eastAsia="Times New Roman" w:cs="Times New Roman"/>
          <w:sz w:val="24"/>
          <w:szCs w:val="24"/>
          <w:highlight w:val="cyan"/>
        </w:rPr>
        <w:t xml:space="preserve">Even bankers and brokers occasionally supported labor reform, a writer in </w:t>
      </w:r>
      <w:r w:rsidRPr="00D11FDB">
        <w:rPr>
          <w:rFonts w:eastAsia="Times New Roman" w:cs="Times New Roman"/>
          <w:i/>
          <w:iCs/>
          <w:sz w:val="24"/>
          <w:szCs w:val="24"/>
          <w:highlight w:val="cyan"/>
        </w:rPr>
        <w:t>Industrial Age</w:t>
      </w:r>
      <w:r w:rsidRPr="00D11FDB">
        <w:rPr>
          <w:rFonts w:eastAsia="Times New Roman" w:cs="Times New Roman"/>
          <w:sz w:val="24"/>
          <w:szCs w:val="24"/>
          <w:highlight w:val="cyan"/>
        </w:rPr>
        <w:t xml:space="preserve"> noted, but “the religious press has almost universally wheeled into line in support of the Shylocks and the sharpers.”</w:t>
      </w:r>
    </w:p>
    <w:p w:rsidR="00345F04" w:rsidRPr="00345F04" w:rsidRDefault="00345F04" w:rsidP="00345F04">
      <w:pPr>
        <w:spacing w:before="100" w:beforeAutospacing="1" w:after="100" w:afterAutospacing="1"/>
        <w:rPr>
          <w:rFonts w:eastAsia="Times New Roman" w:cs="Times New Roman"/>
          <w:sz w:val="24"/>
          <w:szCs w:val="24"/>
        </w:rPr>
      </w:pPr>
      <w:r w:rsidRPr="00D11FDB">
        <w:rPr>
          <w:rFonts w:eastAsia="Times New Roman" w:cs="Times New Roman"/>
          <w:sz w:val="24"/>
          <w:szCs w:val="24"/>
          <w:highlight w:val="magenta"/>
        </w:rPr>
        <w:t>Allied with the clergy in the work of creating an “orthodox” financial view were the academic economists</w:t>
      </w:r>
      <w:r w:rsidRPr="00345F04">
        <w:rPr>
          <w:rFonts w:eastAsia="Times New Roman" w:cs="Times New Roman"/>
          <w:sz w:val="24"/>
          <w:szCs w:val="24"/>
        </w:rPr>
        <w:t xml:space="preserve">.  </w:t>
      </w:r>
      <w:r w:rsidRPr="00D11FDB">
        <w:rPr>
          <w:rFonts w:eastAsia="Times New Roman" w:cs="Times New Roman"/>
          <w:sz w:val="24"/>
          <w:szCs w:val="24"/>
          <w:highlight w:val="yellow"/>
        </w:rPr>
        <w:t>Before the Civil War the clerical influence pervaded American higher education, and at most American colleges “political economy” was taught by a minister as a branch of “moral philosophy.”</w:t>
      </w:r>
      <w:r w:rsidRPr="00345F04">
        <w:rPr>
          <w:rFonts w:eastAsia="Times New Roman" w:cs="Times New Roman"/>
          <w:sz w:val="24"/>
          <w:szCs w:val="24"/>
        </w:rPr>
        <w:t xml:space="preserve">  In the 1850s Atwater had held the chair of metaphysics and moral philosophy at the College of New Jersey.  </w:t>
      </w:r>
      <w:r w:rsidRPr="00D11FDB">
        <w:rPr>
          <w:rFonts w:eastAsia="Times New Roman" w:cs="Times New Roman"/>
          <w:sz w:val="24"/>
          <w:szCs w:val="24"/>
          <w:highlight w:val="yellow"/>
        </w:rPr>
        <w:t>At Brown University President Francis Wayland, a Baptist minister, taught the course in political economy and wrote the most widely used introductory economics text of the prewar period.  The War did not suddenly end the clerical-academic association.</w:t>
      </w:r>
      <w:r w:rsidRPr="00345F04">
        <w:rPr>
          <w:rFonts w:eastAsia="Times New Roman" w:cs="Times New Roman"/>
          <w:sz w:val="24"/>
          <w:szCs w:val="24"/>
        </w:rPr>
        <w:t xml:space="preserve">  </w:t>
      </w:r>
      <w:r w:rsidRPr="00D11FDB">
        <w:rPr>
          <w:rFonts w:eastAsia="Times New Roman" w:cs="Times New Roman"/>
          <w:sz w:val="24"/>
          <w:szCs w:val="24"/>
          <w:highlight w:val="cyan"/>
        </w:rPr>
        <w:t>After 1865 Atwater continued to indoctrinate young ministerial students at Princeton Theological Seminary, while at Yale William Graham Sumner, an ordained Episcopal clergyman, introduced several generations of students to the mysteries of supply and demand, tariffs, and value, as well as banks, bonds, interest, and money.</w:t>
      </w:r>
    </w:p>
    <w:p w:rsidR="00345F04" w:rsidRPr="00345F04" w:rsidRDefault="00345F04" w:rsidP="00345F04">
      <w:pPr>
        <w:spacing w:before="100" w:beforeAutospacing="1" w:after="100" w:afterAutospacing="1"/>
        <w:rPr>
          <w:rFonts w:eastAsia="Times New Roman" w:cs="Times New Roman"/>
          <w:sz w:val="24"/>
          <w:szCs w:val="24"/>
        </w:rPr>
      </w:pPr>
      <w:r w:rsidRPr="00D11FDB">
        <w:rPr>
          <w:rFonts w:eastAsia="Times New Roman" w:cs="Times New Roman"/>
          <w:sz w:val="24"/>
          <w:szCs w:val="24"/>
          <w:highlight w:val="magenta"/>
        </w:rPr>
        <w:t>It is scarcely necessary to say that the “clerical school” of academicians saw economics as a branch of ethics</w:t>
      </w:r>
      <w:r w:rsidRPr="00345F04">
        <w:rPr>
          <w:rFonts w:eastAsia="Times New Roman" w:cs="Times New Roman"/>
          <w:sz w:val="24"/>
          <w:szCs w:val="24"/>
        </w:rPr>
        <w:t xml:space="preserve">.  Atwater, as we have seen, believed that “economics and ethics largely interlock.”  </w:t>
      </w:r>
      <w:r w:rsidRPr="00D11FDB">
        <w:rPr>
          <w:rFonts w:eastAsia="Times New Roman" w:cs="Times New Roman"/>
          <w:sz w:val="24"/>
          <w:szCs w:val="24"/>
          <w:highlight w:val="magenta"/>
        </w:rPr>
        <w:t>Sumner told his students that God exercised “a political providence over the country ... by the laws of political economy.”</w:t>
      </w:r>
      <w:r w:rsidRPr="00345F04">
        <w:rPr>
          <w:rFonts w:eastAsia="Times New Roman" w:cs="Times New Roman"/>
          <w:sz w:val="24"/>
          <w:szCs w:val="24"/>
        </w:rPr>
        <w:t xml:space="preserve">  But even the lay professors in the postwar period were not entirely liberated from the traditional ethical perspective </w:t>
      </w:r>
      <w:r w:rsidRPr="00345F04">
        <w:rPr>
          <w:rFonts w:eastAsia="Times New Roman" w:cs="Times New Roman"/>
          <w:sz w:val="24"/>
          <w:szCs w:val="24"/>
        </w:rPr>
        <w:lastRenderedPageBreak/>
        <w:t xml:space="preserve">of their discipline.  Francis </w:t>
      </w:r>
      <w:proofErr w:type="spellStart"/>
      <w:r w:rsidRPr="00345F04">
        <w:rPr>
          <w:rFonts w:eastAsia="Times New Roman" w:cs="Times New Roman"/>
          <w:sz w:val="24"/>
          <w:szCs w:val="24"/>
        </w:rPr>
        <w:t>Brwen</w:t>
      </w:r>
      <w:proofErr w:type="spellEnd"/>
      <w:r w:rsidRPr="00345F04">
        <w:rPr>
          <w:rFonts w:eastAsia="Times New Roman" w:cs="Times New Roman"/>
          <w:sz w:val="24"/>
          <w:szCs w:val="24"/>
        </w:rPr>
        <w:t>, Alford Professor of “Natural Religion, Moral Philosophy &amp; Civil Polity” at Harvard, was trying to combine the old faith in moral law with the fashionable new scientism when he noted that there was “a general science of Human Nature, of which the special sciences of Ethics, Psychology, Politics and Political Economy are so many distinct and coordinate departments.”</w:t>
      </w:r>
    </w:p>
    <w:p w:rsidR="00345F04" w:rsidRPr="00345F04" w:rsidRDefault="00345F04" w:rsidP="00345F04">
      <w:pPr>
        <w:spacing w:before="100" w:beforeAutospacing="1" w:after="100" w:afterAutospacing="1"/>
        <w:rPr>
          <w:rFonts w:eastAsia="Times New Roman" w:cs="Times New Roman"/>
          <w:sz w:val="24"/>
          <w:szCs w:val="24"/>
        </w:rPr>
      </w:pPr>
      <w:r w:rsidRPr="00345F04">
        <w:rPr>
          <w:rFonts w:eastAsia="Times New Roman" w:cs="Times New Roman"/>
          <w:sz w:val="24"/>
          <w:szCs w:val="24"/>
        </w:rPr>
        <w:t xml:space="preserve">This ethical perspective was only reinforced by the dominant intellectual tradition of academic economics.  </w:t>
      </w:r>
      <w:r w:rsidRPr="00D11FDB">
        <w:rPr>
          <w:rFonts w:eastAsia="Times New Roman" w:cs="Times New Roman"/>
          <w:sz w:val="24"/>
          <w:szCs w:val="24"/>
          <w:highlight w:val="magenta"/>
        </w:rPr>
        <w:t>The American professoriate accepted almost without question the dogmas of Classical Economics.</w:t>
      </w:r>
      <w:r w:rsidRPr="00345F04">
        <w:rPr>
          <w:rFonts w:eastAsia="Times New Roman" w:cs="Times New Roman"/>
          <w:sz w:val="24"/>
          <w:szCs w:val="24"/>
        </w:rPr>
        <w:t xml:space="preserve">  Preponderantly free traders, they also subscribed to Ricardo’s and Mill’s anti-mercantilist capital theories.  Besides enjoying the prestige of European orthodoxy </w:t>
      </w:r>
      <w:r w:rsidRPr="00D11FDB">
        <w:rPr>
          <w:rFonts w:eastAsia="Times New Roman" w:cs="Times New Roman"/>
          <w:sz w:val="24"/>
          <w:szCs w:val="24"/>
          <w:highlight w:val="magenta"/>
        </w:rPr>
        <w:t>such theories confirmed, by emphasizing savings and self-denial, deep Calvinist prejudices.</w:t>
      </w:r>
      <w:r w:rsidRPr="00345F04">
        <w:rPr>
          <w:rFonts w:eastAsia="Times New Roman" w:cs="Times New Roman"/>
          <w:sz w:val="24"/>
          <w:szCs w:val="24"/>
        </w:rPr>
        <w:t>  Capital, they held, must be distinguished from mere cash.  The reward of frugality, real capital was the excess of production over consumption, and its abundance alone, not that of currency, determined interest rates and the ease of borrowing.  “To increase the stock of money in the community,” wrote Bowen, “is not thereby to augment the fund available for loans, or to diminish the difficulty of borrowing, or to lower the rate of interest.”</w:t>
      </w:r>
    </w:p>
    <w:p w:rsidR="00345F04" w:rsidRPr="00345F04" w:rsidRDefault="00345F04" w:rsidP="00345F04">
      <w:pPr>
        <w:spacing w:before="100" w:beforeAutospacing="1" w:after="100" w:afterAutospacing="1"/>
        <w:rPr>
          <w:rFonts w:eastAsia="Times New Roman" w:cs="Times New Roman"/>
          <w:sz w:val="24"/>
          <w:szCs w:val="24"/>
        </w:rPr>
      </w:pPr>
      <w:r w:rsidRPr="00345F04">
        <w:rPr>
          <w:rFonts w:eastAsia="Times New Roman" w:cs="Times New Roman"/>
          <w:sz w:val="24"/>
          <w:szCs w:val="24"/>
        </w:rPr>
        <w:t xml:space="preserve">These principles the professors recited over their lecterns to the small elite in the nation’s leading colleges.  At Princeton, Yale, Williams, and Harvard, Atwater, Sumner, Perry, and Bowen respectively molded the financial thinking of the young.  At Cornell President Andrew White illustrated the evils of currency experimentation from the lessons of French history.  Even in the West the academicians were “sound,” and railed against the economic “vagaries” of their section.  </w:t>
      </w:r>
      <w:r w:rsidRPr="00D11FDB">
        <w:rPr>
          <w:rFonts w:eastAsia="Times New Roman" w:cs="Times New Roman"/>
          <w:sz w:val="24"/>
          <w:szCs w:val="24"/>
          <w:highlight w:val="yellow"/>
        </w:rPr>
        <w:t>But through their writings, particularly the widely circulated introductory texts, the professors’ conservative teachings reached a far larger public.</w:t>
      </w:r>
      <w:r w:rsidRPr="00345F04">
        <w:rPr>
          <w:rFonts w:eastAsia="Times New Roman" w:cs="Times New Roman"/>
          <w:sz w:val="24"/>
          <w:szCs w:val="24"/>
        </w:rPr>
        <w:t xml:space="preserve">  From 1837 on, </w:t>
      </w:r>
      <w:r w:rsidRPr="00D11FDB">
        <w:rPr>
          <w:rFonts w:eastAsia="Times New Roman" w:cs="Times New Roman"/>
          <w:sz w:val="24"/>
          <w:szCs w:val="24"/>
          <w:highlight w:val="cyan"/>
        </w:rPr>
        <w:t xml:space="preserve">Wayland’s </w:t>
      </w:r>
      <w:r w:rsidRPr="00D11FDB">
        <w:rPr>
          <w:rFonts w:eastAsia="Times New Roman" w:cs="Times New Roman"/>
          <w:i/>
          <w:iCs/>
          <w:sz w:val="24"/>
          <w:szCs w:val="24"/>
          <w:highlight w:val="cyan"/>
        </w:rPr>
        <w:t>Elements of Political Economy</w:t>
      </w:r>
      <w:r w:rsidRPr="00D11FDB">
        <w:rPr>
          <w:rFonts w:eastAsia="Times New Roman" w:cs="Times New Roman"/>
          <w:sz w:val="24"/>
          <w:szCs w:val="24"/>
          <w:highlight w:val="cyan"/>
        </w:rPr>
        <w:t xml:space="preserve"> shared the stage with Jean Baptiste Say’s equally orthodox </w:t>
      </w:r>
      <w:r w:rsidRPr="00D11FDB">
        <w:rPr>
          <w:rFonts w:eastAsia="Times New Roman" w:cs="Times New Roman"/>
          <w:i/>
          <w:iCs/>
          <w:sz w:val="24"/>
          <w:szCs w:val="24"/>
          <w:highlight w:val="cyan"/>
        </w:rPr>
        <w:t>Treatise</w:t>
      </w:r>
      <w:r w:rsidRPr="00D11FDB">
        <w:rPr>
          <w:rFonts w:eastAsia="Times New Roman" w:cs="Times New Roman"/>
          <w:sz w:val="24"/>
          <w:szCs w:val="24"/>
          <w:highlight w:val="cyan"/>
        </w:rPr>
        <w:t>, as the most widely read “first principles” text.</w:t>
      </w:r>
      <w:r w:rsidRPr="00345F04">
        <w:rPr>
          <w:rFonts w:eastAsia="Times New Roman" w:cs="Times New Roman"/>
          <w:sz w:val="24"/>
          <w:szCs w:val="24"/>
        </w:rPr>
        <w:t xml:space="preserve">  By the War it had gone through four editions and many printings and was to appear in six postwar editions.  </w:t>
      </w:r>
      <w:r w:rsidRPr="00D11FDB">
        <w:rPr>
          <w:rFonts w:eastAsia="Times New Roman" w:cs="Times New Roman"/>
          <w:sz w:val="24"/>
          <w:szCs w:val="24"/>
          <w:highlight w:val="cyan"/>
        </w:rPr>
        <w:t>In 1866 the introductory work of Professor A.L. Perry of Williams appeared, usurping first place from Wayland and running through a fantastic twenty editions before 1885</w:t>
      </w:r>
      <w:r w:rsidRPr="00345F04">
        <w:rPr>
          <w:rFonts w:eastAsia="Times New Roman" w:cs="Times New Roman"/>
          <w:sz w:val="24"/>
          <w:szCs w:val="24"/>
        </w:rPr>
        <w:t xml:space="preserve">.  Other prominent texts of the period which dispensed orthodoxy were </w:t>
      </w:r>
      <w:proofErr w:type="spellStart"/>
      <w:r w:rsidRPr="00345F04">
        <w:rPr>
          <w:rFonts w:eastAsia="Times New Roman" w:cs="Times New Roman"/>
          <w:sz w:val="24"/>
          <w:szCs w:val="24"/>
        </w:rPr>
        <w:t>Amasa</w:t>
      </w:r>
      <w:proofErr w:type="spellEnd"/>
      <w:r w:rsidRPr="00345F04">
        <w:rPr>
          <w:rFonts w:eastAsia="Times New Roman" w:cs="Times New Roman"/>
          <w:sz w:val="24"/>
          <w:szCs w:val="24"/>
        </w:rPr>
        <w:t xml:space="preserve"> Walker’s </w:t>
      </w:r>
      <w:r w:rsidRPr="00345F04">
        <w:rPr>
          <w:rFonts w:eastAsia="Times New Roman" w:cs="Times New Roman"/>
          <w:i/>
          <w:iCs/>
          <w:sz w:val="24"/>
          <w:szCs w:val="24"/>
        </w:rPr>
        <w:t>Science of Wealth</w:t>
      </w:r>
      <w:r w:rsidRPr="00345F04">
        <w:rPr>
          <w:rFonts w:eastAsia="Times New Roman" w:cs="Times New Roman"/>
          <w:sz w:val="24"/>
          <w:szCs w:val="24"/>
        </w:rPr>
        <w:t xml:space="preserve"> and Francis Bowen’s </w:t>
      </w:r>
      <w:r w:rsidRPr="00345F04">
        <w:rPr>
          <w:rFonts w:eastAsia="Times New Roman" w:cs="Times New Roman"/>
          <w:i/>
          <w:iCs/>
          <w:sz w:val="24"/>
          <w:szCs w:val="24"/>
        </w:rPr>
        <w:t>Principles of Political Economy</w:t>
      </w:r>
      <w:r w:rsidRPr="00345F04">
        <w:rPr>
          <w:rFonts w:eastAsia="Times New Roman" w:cs="Times New Roman"/>
          <w:sz w:val="24"/>
          <w:szCs w:val="24"/>
        </w:rPr>
        <w:t>.</w:t>
      </w:r>
    </w:p>
    <w:p w:rsidR="00345F04" w:rsidRPr="00345F04" w:rsidRDefault="00345F04" w:rsidP="00345F04">
      <w:pPr>
        <w:spacing w:before="100" w:beforeAutospacing="1" w:after="100" w:afterAutospacing="1"/>
        <w:rPr>
          <w:rFonts w:eastAsia="Times New Roman" w:cs="Times New Roman"/>
          <w:sz w:val="24"/>
          <w:szCs w:val="24"/>
        </w:rPr>
      </w:pPr>
      <w:r w:rsidRPr="00D11FDB">
        <w:rPr>
          <w:rFonts w:eastAsia="Times New Roman" w:cs="Times New Roman"/>
          <w:sz w:val="24"/>
          <w:szCs w:val="24"/>
          <w:highlight w:val="magenta"/>
        </w:rPr>
        <w:t xml:space="preserve">On the specific question of fiat money the text writers followed the </w:t>
      </w:r>
      <w:proofErr w:type="spellStart"/>
      <w:r w:rsidRPr="00D11FDB">
        <w:rPr>
          <w:rFonts w:eastAsia="Times New Roman" w:cs="Times New Roman"/>
          <w:sz w:val="24"/>
          <w:szCs w:val="24"/>
          <w:highlight w:val="magenta"/>
        </w:rPr>
        <w:t>Ricardians</w:t>
      </w:r>
      <w:proofErr w:type="spellEnd"/>
      <w:r w:rsidRPr="00D11FDB">
        <w:rPr>
          <w:rFonts w:eastAsia="Times New Roman" w:cs="Times New Roman"/>
          <w:sz w:val="24"/>
          <w:szCs w:val="24"/>
          <w:highlight w:val="magenta"/>
        </w:rPr>
        <w:t>.  Walker’s 1866 text condemned the issue of a legal tender as “a great usury,” never “justified except in the most extreme case of national peril.”  Perry declared that “a paper money is only tolerable when it is actually and instantly convertible on demand into gold and silver.”</w:t>
      </w:r>
      <w:r w:rsidRPr="00345F04">
        <w:rPr>
          <w:rFonts w:eastAsia="Times New Roman" w:cs="Times New Roman"/>
          <w:sz w:val="24"/>
          <w:szCs w:val="24"/>
        </w:rPr>
        <w:t xml:space="preserve">  Unlike Walker, he praised the new national banking system and its issues, but concluded that “taking all things into consideration, every way the best money is the gold and silver which God has evidently designed for that purpose.”  Bowen’s revised text of 1870 observed that “the prolonged use of Paper Money” had “done even more harm to the morals of the country than to its commerce, its reputation, and its financial </w:t>
      </w:r>
      <w:proofErr w:type="spellStart"/>
      <w:r w:rsidRPr="00345F04">
        <w:rPr>
          <w:rFonts w:eastAsia="Times New Roman" w:cs="Times New Roman"/>
          <w:sz w:val="24"/>
          <w:szCs w:val="24"/>
        </w:rPr>
        <w:t>well being</w:t>
      </w:r>
      <w:proofErr w:type="spellEnd"/>
      <w:r w:rsidRPr="00345F04">
        <w:rPr>
          <w:rFonts w:eastAsia="Times New Roman" w:cs="Times New Roman"/>
          <w:sz w:val="24"/>
          <w:szCs w:val="24"/>
        </w:rPr>
        <w:t xml:space="preserve">.”  William Graham Sumner’s </w:t>
      </w:r>
      <w:r w:rsidRPr="00345F04">
        <w:rPr>
          <w:rFonts w:eastAsia="Times New Roman" w:cs="Times New Roman"/>
          <w:i/>
          <w:iCs/>
          <w:sz w:val="24"/>
          <w:szCs w:val="24"/>
        </w:rPr>
        <w:t>History of American Currency</w:t>
      </w:r>
      <w:r w:rsidRPr="00345F04">
        <w:rPr>
          <w:rFonts w:eastAsia="Times New Roman" w:cs="Times New Roman"/>
          <w:sz w:val="24"/>
          <w:szCs w:val="24"/>
        </w:rPr>
        <w:t xml:space="preserve"> pictured the issue of greenbacks as a great wartime error.  “Whatever strength a nation has is weakened by issuing legal tender notes.”  “All history shows that paper money with a forced circulation is not a temporary resource. . . . It is a mischief easily done but most difficult to cure.”</w:t>
      </w:r>
    </w:p>
    <w:p w:rsidR="00345F04" w:rsidRPr="00345F04" w:rsidRDefault="00345F04" w:rsidP="00345F04">
      <w:pPr>
        <w:spacing w:before="100" w:beforeAutospacing="1" w:after="100" w:afterAutospacing="1"/>
        <w:rPr>
          <w:rFonts w:eastAsia="Times New Roman" w:cs="Times New Roman"/>
          <w:sz w:val="24"/>
          <w:szCs w:val="24"/>
        </w:rPr>
      </w:pPr>
      <w:r w:rsidRPr="00D11FDB">
        <w:rPr>
          <w:rFonts w:eastAsia="Times New Roman" w:cs="Times New Roman"/>
          <w:sz w:val="24"/>
          <w:szCs w:val="24"/>
          <w:highlight w:val="yellow"/>
        </w:rPr>
        <w:t xml:space="preserve">Supported by a gifted corps of financial freelances and journalists, which included J.B. </w:t>
      </w:r>
      <w:proofErr w:type="spellStart"/>
      <w:r w:rsidRPr="00D11FDB">
        <w:rPr>
          <w:rFonts w:eastAsia="Times New Roman" w:cs="Times New Roman"/>
          <w:sz w:val="24"/>
          <w:szCs w:val="24"/>
          <w:highlight w:val="yellow"/>
        </w:rPr>
        <w:t>Hodgskin</w:t>
      </w:r>
      <w:proofErr w:type="spellEnd"/>
      <w:r w:rsidRPr="00D11FDB">
        <w:rPr>
          <w:rFonts w:eastAsia="Times New Roman" w:cs="Times New Roman"/>
          <w:sz w:val="24"/>
          <w:szCs w:val="24"/>
          <w:highlight w:val="yellow"/>
        </w:rPr>
        <w:t>, Joseph Ropes, Gamaliel Bradford, Simon Newcomb, David Wells, and Edward Atkinson, the academic economists allied themselves with the clergy to guard the country’s financial purity and advocated heroic measures to return the nation to “sound” practices.</w:t>
      </w:r>
      <w:r w:rsidRPr="00345F04">
        <w:rPr>
          <w:rFonts w:eastAsia="Times New Roman" w:cs="Times New Roman"/>
          <w:sz w:val="24"/>
          <w:szCs w:val="24"/>
        </w:rPr>
        <w:t xml:space="preserve">  </w:t>
      </w:r>
      <w:r w:rsidRPr="00D11FDB">
        <w:rPr>
          <w:rFonts w:eastAsia="Times New Roman" w:cs="Times New Roman"/>
          <w:sz w:val="24"/>
          <w:szCs w:val="24"/>
          <w:highlight w:val="magenta"/>
        </w:rPr>
        <w:t>Arguing, validly, that to succeed, resumption had to be preceded by deflation, which would bring American paper prices in line with those of Europe, they stubbornly rejected every alternative to massive greenback destruction.  “</w:t>
      </w:r>
      <w:r w:rsidRPr="00D11FDB">
        <w:rPr>
          <w:rFonts w:eastAsia="Times New Roman" w:cs="Times New Roman"/>
          <w:i/>
          <w:iCs/>
          <w:sz w:val="24"/>
          <w:szCs w:val="24"/>
          <w:highlight w:val="magenta"/>
        </w:rPr>
        <w:t>I do not believe it possible to resume</w:t>
      </w:r>
      <w:r w:rsidRPr="00D11FDB">
        <w:rPr>
          <w:rFonts w:eastAsia="Times New Roman" w:cs="Times New Roman"/>
          <w:sz w:val="24"/>
          <w:szCs w:val="24"/>
          <w:highlight w:val="magenta"/>
        </w:rPr>
        <w:t>,” Perry told his former pupil James A. Garfield, “</w:t>
      </w:r>
      <w:r w:rsidRPr="00D11FDB">
        <w:rPr>
          <w:rFonts w:eastAsia="Times New Roman" w:cs="Times New Roman"/>
          <w:i/>
          <w:iCs/>
          <w:sz w:val="24"/>
          <w:szCs w:val="24"/>
          <w:highlight w:val="magenta"/>
        </w:rPr>
        <w:t>without further and large contraction</w:t>
      </w:r>
      <w:r w:rsidRPr="00D11FDB">
        <w:rPr>
          <w:rFonts w:eastAsia="Times New Roman" w:cs="Times New Roman"/>
          <w:sz w:val="24"/>
          <w:szCs w:val="24"/>
          <w:highlight w:val="magenta"/>
        </w:rPr>
        <w:t>.”</w:t>
      </w:r>
      <w:r w:rsidRPr="00345F04">
        <w:rPr>
          <w:rFonts w:eastAsia="Times New Roman" w:cs="Times New Roman"/>
          <w:sz w:val="24"/>
          <w:szCs w:val="24"/>
        </w:rPr>
        <w:t xml:space="preserve">  </w:t>
      </w:r>
      <w:r w:rsidRPr="00D11FDB">
        <w:rPr>
          <w:rFonts w:eastAsia="Times New Roman" w:cs="Times New Roman"/>
          <w:sz w:val="24"/>
          <w:szCs w:val="24"/>
          <w:highlight w:val="green"/>
        </w:rPr>
        <w:t>Bowen suggested in 1865 that one-fifth of the government’s income be set aside in greenbacks “and publicly burned.”  At the end of eight or nine months “120 million would have been destroyed and gold would be down to 130.”</w:t>
      </w:r>
    </w:p>
    <w:p w:rsidR="00345F04" w:rsidRPr="00345F04" w:rsidRDefault="00345F04" w:rsidP="00345F04">
      <w:pPr>
        <w:spacing w:before="100" w:beforeAutospacing="1" w:after="100" w:afterAutospacing="1"/>
        <w:rPr>
          <w:rFonts w:eastAsia="Times New Roman" w:cs="Times New Roman"/>
          <w:sz w:val="24"/>
          <w:szCs w:val="24"/>
        </w:rPr>
      </w:pPr>
      <w:r w:rsidRPr="00345F04">
        <w:rPr>
          <w:rFonts w:eastAsia="Times New Roman" w:cs="Times New Roman"/>
          <w:sz w:val="24"/>
          <w:szCs w:val="24"/>
        </w:rPr>
        <w:t xml:space="preserve">Originally Bowen’s idea, this “cremation theory” is generally associated with the name of </w:t>
      </w:r>
      <w:r w:rsidRPr="00502C6D">
        <w:rPr>
          <w:rFonts w:eastAsia="Times New Roman" w:cs="Times New Roman"/>
          <w:sz w:val="24"/>
          <w:szCs w:val="24"/>
          <w:highlight w:val="yellow"/>
        </w:rPr>
        <w:t>David A. Wells, Chairman of the Special Revenue Commission established in 1865 to review federal taxation policy</w:t>
      </w:r>
      <w:r w:rsidRPr="00345F04">
        <w:rPr>
          <w:rFonts w:eastAsia="Times New Roman" w:cs="Times New Roman"/>
          <w:sz w:val="24"/>
          <w:szCs w:val="24"/>
        </w:rPr>
        <w:t xml:space="preserve">.  Wells had </w:t>
      </w:r>
      <w:r w:rsidRPr="00345F04">
        <w:rPr>
          <w:rFonts w:eastAsia="Times New Roman" w:cs="Times New Roman"/>
          <w:sz w:val="24"/>
          <w:szCs w:val="24"/>
        </w:rPr>
        <w:lastRenderedPageBreak/>
        <w:t xml:space="preserve">been a protectionist early in his is career.  </w:t>
      </w:r>
      <w:r w:rsidRPr="00502C6D">
        <w:rPr>
          <w:rFonts w:eastAsia="Times New Roman" w:cs="Times New Roman"/>
          <w:sz w:val="24"/>
          <w:szCs w:val="24"/>
          <w:highlight w:val="yellow"/>
        </w:rPr>
        <w:t>By 1868 his Reports as Special Commissioner had become tracts for both free trade and hard money, and he was the hero of the academicians and the educated public</w:t>
      </w:r>
      <w:r w:rsidRPr="00345F04">
        <w:rPr>
          <w:rFonts w:eastAsia="Times New Roman" w:cs="Times New Roman"/>
          <w:sz w:val="24"/>
          <w:szCs w:val="24"/>
        </w:rPr>
        <w:t xml:space="preserve">.  In 1870 his protectionist enemies forced him to resign his post, but they did not make him abandon the good fight.  He became an aggressive and prolific pamphleteer for sound money and in 1875 published </w:t>
      </w:r>
      <w:r w:rsidRPr="00345F04">
        <w:rPr>
          <w:rFonts w:eastAsia="Times New Roman" w:cs="Times New Roman"/>
          <w:i/>
          <w:iCs/>
          <w:sz w:val="24"/>
          <w:szCs w:val="24"/>
        </w:rPr>
        <w:t>The Cremation Theory of Specie Resumption</w:t>
      </w:r>
      <w:r w:rsidRPr="00345F04">
        <w:rPr>
          <w:rFonts w:eastAsia="Times New Roman" w:cs="Times New Roman"/>
          <w:sz w:val="24"/>
          <w:szCs w:val="24"/>
        </w:rPr>
        <w:t>, advocating the draconian program of burning half a million greenback dollars weekly.</w:t>
      </w:r>
    </w:p>
    <w:p w:rsidR="00345F04" w:rsidRPr="00345F04" w:rsidRDefault="00345F04" w:rsidP="00345F04">
      <w:pPr>
        <w:spacing w:before="100" w:beforeAutospacing="1" w:after="100" w:afterAutospacing="1"/>
        <w:rPr>
          <w:rFonts w:eastAsia="Times New Roman" w:cs="Times New Roman"/>
          <w:sz w:val="24"/>
          <w:szCs w:val="24"/>
        </w:rPr>
      </w:pPr>
      <w:r w:rsidRPr="00345F04">
        <w:rPr>
          <w:rFonts w:eastAsia="Times New Roman" w:cs="Times New Roman"/>
          <w:sz w:val="24"/>
          <w:szCs w:val="24"/>
        </w:rPr>
        <w:t xml:space="preserve">Another influential champion of “honest finance” was the </w:t>
      </w:r>
      <w:r w:rsidRPr="00502C6D">
        <w:rPr>
          <w:rFonts w:eastAsia="Times New Roman" w:cs="Times New Roman"/>
          <w:sz w:val="24"/>
          <w:szCs w:val="24"/>
          <w:highlight w:val="yellow"/>
        </w:rPr>
        <w:t>articulate and public-spirited Massachusetts cotton manufacturer Edward A. Atkinson,</w:t>
      </w:r>
      <w:r w:rsidRPr="00345F04">
        <w:rPr>
          <w:rFonts w:eastAsia="Times New Roman" w:cs="Times New Roman"/>
          <w:sz w:val="24"/>
          <w:szCs w:val="24"/>
        </w:rPr>
        <w:t xml:space="preserve"> a man of immense industry and catholic interests, whose views on finance and protection were to carry great weight with an important section of New England businessmen.  Atkinson encouraged McCulloch in his contraction policy and advised Charles Sumner on financial problems.  Closely allied with the Yankee reformer element, he wrote numerous hard money pamphlets, and in both the ’60s and ’70s devoted much of his prodigious energy to </w:t>
      </w:r>
      <w:r w:rsidRPr="00502C6D">
        <w:rPr>
          <w:rFonts w:eastAsia="Times New Roman" w:cs="Times New Roman"/>
          <w:sz w:val="24"/>
          <w:szCs w:val="24"/>
          <w:highlight w:val="yellow"/>
        </w:rPr>
        <w:t xml:space="preserve">leading the </w:t>
      </w:r>
      <w:proofErr w:type="spellStart"/>
      <w:r w:rsidRPr="00502C6D">
        <w:rPr>
          <w:rFonts w:eastAsia="Times New Roman" w:cs="Times New Roman"/>
          <w:sz w:val="24"/>
          <w:szCs w:val="24"/>
          <w:highlight w:val="yellow"/>
        </w:rPr>
        <w:t>contractionist</w:t>
      </w:r>
      <w:proofErr w:type="spellEnd"/>
      <w:r w:rsidRPr="00502C6D">
        <w:rPr>
          <w:rFonts w:eastAsia="Times New Roman" w:cs="Times New Roman"/>
          <w:sz w:val="24"/>
          <w:szCs w:val="24"/>
          <w:highlight w:val="yellow"/>
        </w:rPr>
        <w:t xml:space="preserve"> forces against the greenback attack</w:t>
      </w:r>
      <w:r w:rsidRPr="00345F04">
        <w:rPr>
          <w:rFonts w:eastAsia="Times New Roman" w:cs="Times New Roman"/>
          <w:sz w:val="24"/>
          <w:szCs w:val="24"/>
        </w:rPr>
        <w:t>.</w:t>
      </w:r>
    </w:p>
    <w:p w:rsidR="00345F04" w:rsidRPr="00345F04" w:rsidRDefault="00345F04" w:rsidP="00345F04">
      <w:pPr>
        <w:spacing w:after="0"/>
        <w:rPr>
          <w:rFonts w:eastAsia="Times New Roman" w:cs="Times New Roman"/>
          <w:sz w:val="24"/>
          <w:szCs w:val="24"/>
        </w:rPr>
      </w:pPr>
    </w:p>
    <w:p w:rsidR="00345F04" w:rsidRPr="00345F04" w:rsidRDefault="00345F04" w:rsidP="00345F04">
      <w:pPr>
        <w:spacing w:before="100" w:beforeAutospacing="1" w:after="100" w:afterAutospacing="1"/>
        <w:rPr>
          <w:rFonts w:eastAsia="Times New Roman" w:cs="Times New Roman"/>
          <w:sz w:val="24"/>
          <w:szCs w:val="24"/>
        </w:rPr>
      </w:pPr>
      <w:r w:rsidRPr="00502C6D">
        <w:rPr>
          <w:rFonts w:eastAsia="Times New Roman" w:cs="Times New Roman"/>
          <w:sz w:val="24"/>
          <w:szCs w:val="24"/>
          <w:highlight w:val="yellow"/>
        </w:rPr>
        <w:t>Wells and Atkinson are links between the academicians and the middle-class reform impulse of the postwar years.</w:t>
      </w:r>
      <w:r w:rsidRPr="00345F04">
        <w:rPr>
          <w:rFonts w:eastAsia="Times New Roman" w:cs="Times New Roman"/>
          <w:sz w:val="24"/>
          <w:szCs w:val="24"/>
        </w:rPr>
        <w:t xml:space="preserve">  In the ’70s this reform current would produce the Liberal Republican movement, and in the following decade men of similar outlook would be called </w:t>
      </w:r>
      <w:proofErr w:type="spellStart"/>
      <w:r w:rsidRPr="00502C6D">
        <w:rPr>
          <w:rFonts w:eastAsia="Times New Roman" w:cs="Times New Roman"/>
          <w:sz w:val="24"/>
          <w:szCs w:val="24"/>
          <w:highlight w:val="yellow"/>
        </w:rPr>
        <w:t>Mugwumps</w:t>
      </w:r>
      <w:proofErr w:type="spellEnd"/>
      <w:r w:rsidRPr="00502C6D">
        <w:rPr>
          <w:rFonts w:eastAsia="Times New Roman" w:cs="Times New Roman"/>
          <w:sz w:val="24"/>
          <w:szCs w:val="24"/>
          <w:highlight w:val="yellow"/>
        </w:rPr>
        <w:t>.</w:t>
      </w:r>
      <w:r w:rsidRPr="00345F04">
        <w:rPr>
          <w:rFonts w:eastAsia="Times New Roman" w:cs="Times New Roman"/>
          <w:sz w:val="24"/>
          <w:szCs w:val="24"/>
        </w:rPr>
        <w:t>  But in the ’60s they generally referred to themselves as “</w:t>
      </w:r>
      <w:r w:rsidRPr="00502C6D">
        <w:rPr>
          <w:rFonts w:eastAsia="Times New Roman" w:cs="Times New Roman"/>
          <w:sz w:val="24"/>
          <w:szCs w:val="24"/>
          <w:highlight w:val="yellow"/>
        </w:rPr>
        <w:t>independents” or “reformers” and championed a program of free trade, civil service reform, and hard money.</w:t>
      </w:r>
    </w:p>
    <w:p w:rsidR="00345F04" w:rsidRPr="00345F04" w:rsidRDefault="00345F04" w:rsidP="00345F04">
      <w:pPr>
        <w:spacing w:before="100" w:beforeAutospacing="1" w:after="100" w:afterAutospacing="1"/>
        <w:rPr>
          <w:rFonts w:eastAsia="Times New Roman" w:cs="Times New Roman"/>
          <w:sz w:val="24"/>
          <w:szCs w:val="24"/>
        </w:rPr>
      </w:pPr>
      <w:r w:rsidRPr="00345F04">
        <w:rPr>
          <w:rFonts w:eastAsia="Times New Roman" w:cs="Times New Roman"/>
          <w:sz w:val="24"/>
          <w:szCs w:val="24"/>
        </w:rPr>
        <w:t xml:space="preserve">This genteel reformist current of the Reconstruction period was a complex phenomenon.  Like all attempts to alter the </w:t>
      </w:r>
      <w:r w:rsidRPr="00345F04">
        <w:rPr>
          <w:rFonts w:eastAsia="Times New Roman" w:cs="Times New Roman"/>
          <w:i/>
          <w:iCs/>
          <w:sz w:val="24"/>
          <w:szCs w:val="24"/>
        </w:rPr>
        <w:t>status quo</w:t>
      </w:r>
      <w:r w:rsidRPr="00345F04">
        <w:rPr>
          <w:rFonts w:eastAsia="Times New Roman" w:cs="Times New Roman"/>
          <w:sz w:val="24"/>
          <w:szCs w:val="24"/>
        </w:rPr>
        <w:t xml:space="preserve">, it was fueled by discontent.  But its appeal was not to the great mass of the underprivileged who filled the nation’s urban and rural slums.  It was </w:t>
      </w:r>
      <w:r w:rsidRPr="00502C6D">
        <w:rPr>
          <w:rFonts w:eastAsia="Times New Roman" w:cs="Times New Roman"/>
          <w:sz w:val="24"/>
          <w:szCs w:val="24"/>
          <w:highlight w:val="yellow"/>
        </w:rPr>
        <w:t>largely the product of the social and political frustration of the middle and upper classes</w:t>
      </w:r>
      <w:bookmarkStart w:id="0" w:name="_GoBack"/>
      <w:bookmarkEnd w:id="0"/>
      <w:r w:rsidRPr="00345F04">
        <w:rPr>
          <w:rFonts w:eastAsia="Times New Roman" w:cs="Times New Roman"/>
          <w:sz w:val="24"/>
          <w:szCs w:val="24"/>
        </w:rPr>
        <w:t xml:space="preserve"> that was such an impressive source of the nineteenth-century American attempts to remake the world.</w:t>
      </w:r>
    </w:p>
    <w:p w:rsidR="00345F04" w:rsidRPr="00345F04" w:rsidRDefault="00345F04" w:rsidP="00345F04">
      <w:pPr>
        <w:spacing w:before="100" w:beforeAutospacing="1" w:after="100" w:afterAutospacing="1"/>
        <w:rPr>
          <w:rFonts w:eastAsia="Times New Roman" w:cs="Times New Roman"/>
          <w:sz w:val="24"/>
          <w:szCs w:val="24"/>
        </w:rPr>
      </w:pPr>
      <w:r w:rsidRPr="00345F04">
        <w:rPr>
          <w:rFonts w:eastAsia="Times New Roman" w:cs="Times New Roman"/>
          <w:sz w:val="24"/>
          <w:szCs w:val="24"/>
        </w:rPr>
        <w:t>It is easy to see how post-Civil War America could frustrate educated young men of good family.  To an ambitious, self-confident, young aristocrat like Henry Adams, America of the late ’60s seemed an appalling place.  Returning from England in 1868 intent on carving out a brilliant career in public affairs, the</w:t>
      </w:r>
    </w:p>
    <w:p w:rsidR="000702A9" w:rsidRDefault="000702A9"/>
    <w:sectPr w:rsidR="000702A9" w:rsidSect="00345F04">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F04"/>
    <w:rsid w:val="000702A9"/>
    <w:rsid w:val="00345F04"/>
    <w:rsid w:val="00502C6D"/>
    <w:rsid w:val="00871C46"/>
    <w:rsid w:val="00D11FDB"/>
    <w:rsid w:val="00E81CA0"/>
    <w:rsid w:val="00F9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41ADC-050D-4E30-A013-2C17B8C9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ght">
    <w:name w:val="right"/>
    <w:basedOn w:val="Normal"/>
    <w:rsid w:val="00345F04"/>
    <w:pPr>
      <w:spacing w:before="100" w:beforeAutospacing="1" w:after="100" w:afterAutospacing="1"/>
    </w:pPr>
    <w:rPr>
      <w:rFonts w:eastAsia="Times New Roman" w:cs="Times New Roman"/>
      <w:sz w:val="24"/>
      <w:szCs w:val="24"/>
    </w:rPr>
  </w:style>
  <w:style w:type="paragraph" w:customStyle="1" w:styleId="justify">
    <w:name w:val="justify"/>
    <w:basedOn w:val="Normal"/>
    <w:rsid w:val="00345F04"/>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345F04"/>
    <w:pPr>
      <w:spacing w:before="100" w:beforeAutospacing="1" w:after="100" w:afterAutospacing="1"/>
    </w:pPr>
    <w:rPr>
      <w:rFonts w:eastAsia="Times New Roman" w:cs="Times New Roman"/>
      <w:sz w:val="24"/>
      <w:szCs w:val="24"/>
    </w:rPr>
  </w:style>
  <w:style w:type="character" w:customStyle="1" w:styleId="violet">
    <w:name w:val="violet"/>
    <w:basedOn w:val="DefaultParagraphFont"/>
    <w:rsid w:val="00345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31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3165</Words>
  <Characters>18045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3</cp:revision>
  <dcterms:created xsi:type="dcterms:W3CDTF">2014-09-12T21:02:00Z</dcterms:created>
  <dcterms:modified xsi:type="dcterms:W3CDTF">2014-09-14T15:40:00Z</dcterms:modified>
</cp:coreProperties>
</file>